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0"/>
      </w:pPr>
      <w:r>
        <w:t xml:space="preserve"/>
      </w:r>
    </w:p>
    <w:p>
      <w:pPr>
        <w:spacing w:before="0" w:after="160"/>
        <w:jc w:val="center"/>
      </w:pPr>
      <w:r>
        <w:rPr>
          <w:rFonts w:ascii="Georgia" w:cs="Georgia" w:eastAsia="Georgia" w:hAnsi="Georgia"/>
          <w:b/>
          <w:bCs/>
          <w:color w:val="B8860B"/>
          <w:sz w:val="52"/>
          <w:szCs w:val="52"/>
        </w:rPr>
        <w:t xml:space="preserve">SOoL Teaching Package</w:t>
      </w:r>
    </w:p>
    <w:p>
      <w:pPr>
        <w:spacing w:before="0" w:after="80"/>
        <w:jc w:val="center"/>
      </w:pPr>
      <w:r>
        <w:rPr>
          <w:rFonts w:ascii="Georgia" w:cs="Georgia" w:eastAsia="Georgia" w:hAnsi="Georgia"/>
          <w:i/>
          <w:iCs/>
          <w:color w:val="4A3A2A"/>
          <w:sz w:val="32"/>
          <w:szCs w:val="32"/>
        </w:rPr>
        <w:t xml:space="preserve">A Structural Ontology of the Law</w:t>
      </w:r>
    </w:p>
    <w:p>
      <w:pPr>
        <w:spacing w:before="0" w:after="40"/>
        <w:jc w:val="center"/>
      </w:pPr>
      <w:r>
        <w:rPr>
          <w:rFonts w:ascii="Garamond" w:cs="Garamond" w:eastAsia="Garamond" w:hAnsi="Garamond"/>
          <w:color w:val="8B7D6B"/>
          <w:sz w:val="22"/>
          <w:szCs w:val="22"/>
        </w:rPr>
        <w:t xml:space="preserve">Classroom Module for Jurisprudence, International Law,</w:t>
      </w:r>
    </w:p>
    <w:p>
      <w:pPr>
        <w:spacing w:before="0" w:after="240"/>
        <w:jc w:val="center"/>
      </w:pPr>
      <w:r>
        <w:rPr>
          <w:rFonts w:ascii="Garamond" w:cs="Garamond" w:eastAsia="Garamond" w:hAnsi="Garamond"/>
          <w:color w:val="8B7D6B"/>
          <w:sz w:val="22"/>
          <w:szCs w:val="22"/>
        </w:rPr>
        <w:t xml:space="preserve">Legal History, AI &amp; Law, and Legal Theory Courses</w:t>
      </w:r>
    </w:p>
    <w:p>
      <w:pPr>
        <w:spacing w:before="0" w:after="80"/>
        <w:jc w:val="center"/>
      </w:pPr>
      <w:r>
        <w:rPr>
          <w:rFonts w:ascii="Georgia" w:cs="Georgia" w:eastAsia="Georgia" w:hAnsi="Georgia"/>
          <w:b/>
          <w:bCs/>
          <w:color w:val="2A1A0A"/>
          <w:sz w:val="26"/>
          <w:szCs w:val="26"/>
        </w:rPr>
        <w:t xml:space="preserve">David R. Koepsell</w:t>
      </w:r>
    </w:p>
    <w:p>
      <w:pPr>
        <w:spacing w:before="0" w:after="40"/>
        <w:jc w:val="center"/>
      </w:pPr>
      <w:r>
        <w:rPr>
          <w:rFonts w:ascii="Garamond" w:cs="Garamond" w:eastAsia="Garamond" w:hAnsi="Garamond"/>
          <w:color w:val="8B7D6B"/>
          <w:sz w:val="20"/>
          <w:szCs w:val="20"/>
        </w:rPr>
        <w:t xml:space="preserve">SEAL Lab · Texas A&amp;M University · drkoepsell@tamu.edu</w:t>
      </w:r>
    </w:p>
    <w:p>
      <w:pPr>
        <w:spacing w:before="0" w:after="40"/>
        <w:jc w:val="center"/>
      </w:pPr>
      <w:r>
        <w:rPr>
          <w:rFonts w:ascii="Garamond" w:cs="Garamond" w:eastAsia="Garamond" w:hAnsi="Garamond"/>
          <w:i/>
          <w:iCs/>
          <w:color w:val="8B7D6B"/>
          <w:sz w:val="20"/>
          <w:szCs w:val="20"/>
        </w:rPr>
        <w:t xml:space="preserve">A Structural Ontology of the Law, Palgrave Macmillan (forthcoming)</w:t>
      </w:r>
    </w:p>
    <w:p>
      <w:pPr>
        <w:spacing w:before="0" w:after="480"/>
        <w:jc w:val="center"/>
      </w:pPr>
      <w:r>
        <w:rPr>
          <w:rFonts w:ascii="Courier New" w:cs="Courier New" w:eastAsia="Courier New" w:hAnsi="Courier New"/>
          <w:color w:val="B8860B"/>
          <w:sz w:val="18"/>
          <w:szCs w:val="18"/>
        </w:rPr>
        <w:t xml:space="preserve">github.com/dkoepsell/StructuralOntologyofLaw</w:t>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C8B8" w:sz="2"/>
              <w:left w:val="thick" w:color="B8860B" w:sz="8"/>
              <w:bottom w:val="single" w:color="D0C8B8" w:sz="2"/>
              <w:right w:val="single" w:color="D0C8B8" w:sz="2"/>
            </w:tcBorders>
            <w:shd w:fill="F4EFE4" w:val="clear"/>
            <w:tcMar>
              <w:top w:type="dxa" w:w="120"/>
              <w:left w:type="dxa" w:w="200"/>
              <w:bottom w:type="dxa" w:w="120"/>
              <w:right w:type="dxa" w:w="200"/>
            </w:tcMar>
          </w:tcPr>
          <w:p>
            <w:pPr>
              <w:spacing w:before="60" w:after="80"/>
            </w:pPr>
            <w:r>
              <w:rPr>
                <w:rFonts w:ascii="Georgia" w:cs="Georgia" w:eastAsia="Georgia" w:hAnsi="Georgia"/>
                <w:b/>
                <w:bCs/>
                <w:color w:val="B8860B"/>
                <w:sz w:val="22"/>
                <w:szCs w:val="22"/>
              </w:rPr>
              <w:t xml:space="preserve">Module Overview</w:t>
            </w:r>
          </w:p>
          <w:p>
            <w:pPr>
              <w:spacing w:before="40" w:after="40"/>
            </w:pPr>
            <w:r>
              <w:rPr>
                <w:rFonts w:ascii="Garamond" w:cs="Garamond" w:eastAsia="Garamond" w:hAnsi="Garamond"/>
                <w:b/>
                <w:bCs/>
                <w:color w:val="1A1710"/>
                <w:sz w:val="20"/>
                <w:szCs w:val="20"/>
              </w:rPr>
              <w:t xml:space="preserve">Duration: </w:t>
            </w:r>
            <w:r>
              <w:rPr>
                <w:rFonts w:ascii="Garamond" w:cs="Garamond" w:eastAsia="Garamond" w:hAnsi="Garamond"/>
                <w:color w:val="1A1710"/>
                <w:sz w:val="20"/>
                <w:szCs w:val="20"/>
              </w:rPr>
              <w:t xml:space="preserve">2–3 hours (adaptable to a single seminar session or two shorter lectures)</w:t>
            </w:r>
          </w:p>
          <w:p>
            <w:pPr>
              <w:spacing w:before="40" w:after="40"/>
            </w:pPr>
            <w:r>
              <w:rPr>
                <w:rFonts w:ascii="Garamond" w:cs="Garamond" w:eastAsia="Garamond" w:hAnsi="Garamond"/>
                <w:b/>
                <w:bCs/>
                <w:color w:val="1A1710"/>
                <w:sz w:val="20"/>
                <w:szCs w:val="20"/>
              </w:rPr>
              <w:t xml:space="preserve">Format: </w:t>
            </w:r>
            <w:r>
              <w:rPr>
                <w:rFonts w:ascii="Garamond" w:cs="Garamond" w:eastAsia="Garamond" w:hAnsi="Garamond"/>
                <w:color w:val="1A1710"/>
                <w:sz w:val="20"/>
                <w:szCs w:val="20"/>
              </w:rPr>
              <w:t xml:space="preserve">Conceptual overview + guided tool exercises + discussion + optional graded assignment</w:t>
            </w:r>
          </w:p>
          <w:p>
            <w:pPr>
              <w:spacing w:before="40" w:after="40"/>
            </w:pPr>
            <w:r>
              <w:rPr>
                <w:rFonts w:ascii="Garamond" w:cs="Garamond" w:eastAsia="Garamond" w:hAnsi="Garamond"/>
                <w:b/>
                <w:bCs/>
                <w:color w:val="1A1710"/>
                <w:sz w:val="20"/>
                <w:szCs w:val="20"/>
              </w:rPr>
              <w:t xml:space="preserve">Prerequisites: </w:t>
            </w:r>
            <w:r>
              <w:rPr>
                <w:rFonts w:ascii="Garamond" w:cs="Garamond" w:eastAsia="Garamond" w:hAnsi="Garamond"/>
                <w:color w:val="1A1710"/>
                <w:sz w:val="20"/>
                <w:szCs w:val="20"/>
              </w:rPr>
              <w:t xml:space="preserve">None. No prior knowledge of formal ontology required. Basic familiarity with legal analysis helpful but not necessary.</w:t>
            </w:r>
          </w:p>
          <w:p>
            <w:pPr>
              <w:spacing w:before="40" w:after="60"/>
            </w:pPr>
            <w:r>
              <w:rPr>
                <w:rFonts w:ascii="Garamond" w:cs="Garamond" w:eastAsia="Garamond" w:hAnsi="Garamond"/>
                <w:b/>
                <w:bCs/>
                <w:color w:val="1A1710"/>
                <w:sz w:val="20"/>
                <w:szCs w:val="20"/>
              </w:rPr>
              <w:t xml:space="preserve">Materials needed: </w:t>
            </w:r>
            <w:r>
              <w:rPr>
                <w:rFonts w:ascii="Garamond" w:cs="Garamond" w:eastAsia="Garamond" w:hAnsi="Garamond"/>
                <w:color w:val="1A1710"/>
                <w:sz w:val="20"/>
                <w:szCs w:val="20"/>
              </w:rPr>
              <w:t xml:space="preserve">This document + access to SOoL-MLC-Auditor.html (browser-based, no installation required)</w:t>
            </w:r>
          </w:p>
        </w:tc>
      </w:tr>
    </w:tbl>
    <w:p>
      <w:r>
        <w:br w:type="page"/>
      </w:r>
    </w:p>
    <w:p>
      <w:pPr>
        <w:pStyle w:val="Heading1"/>
        <w:pBdr>
          <w:bottom w:val="single" w:color="B8860B" w:sz="4" w:space="4"/>
        </w:pBdr>
        <w:spacing w:before="400" w:after="120"/>
      </w:pPr>
      <w:r>
        <w:rPr>
          <w:rFonts w:ascii="Georgia" w:cs="Georgia" w:eastAsia="Georgia" w:hAnsi="Georgia"/>
          <w:b/>
          <w:bCs/>
          <w:color w:val="B8860B"/>
          <w:sz w:val="32"/>
          <w:szCs w:val="32"/>
        </w:rPr>
        <w:t xml:space="preserve">Part I: Conceptual Overview</w:t>
      </w:r>
    </w:p>
    <w:p>
      <w:pPr>
        <w:spacing w:before="80" w:after="80" w:line="300"/>
        <w:jc w:val="both"/>
      </w:pPr>
      <w:r>
        <w:rPr>
          <w:rFonts w:ascii="Garamond" w:cs="Garamond" w:eastAsia="Garamond" w:hAnsi="Garamond"/>
          <w:i w:val="false"/>
          <w:iCs w:val="false"/>
          <w:color w:val="1A1710"/>
          <w:sz w:val="22"/>
          <w:szCs w:val="22"/>
        </w:rPr>
        <w:t xml:space="preserve">This section introduces the SOoL framework for students and can be delivered as a brief lecture, assigned as preparatory reading, or both. It requires no prior knowledge of formal ontology and is designed to bridge directly from standard legal analysis to the structural approach.</w:t>
      </w:r>
    </w:p>
    <w:p>
      <w:pPr>
        <w:pStyle w:val="Heading2"/>
        <w:spacing w:before="320" w:after="80"/>
      </w:pPr>
      <w:r>
        <w:rPr>
          <w:rFonts w:ascii="Georgia" w:cs="Georgia" w:eastAsia="Georgia" w:hAnsi="Georgia"/>
          <w:b/>
          <w:bCs/>
          <w:color w:val="0D0B08"/>
          <w:sz w:val="24"/>
          <w:szCs w:val="24"/>
        </w:rPr>
        <w:t xml:space="preserve">1.1 The Problem SOoL Solves</w:t>
      </w:r>
    </w:p>
    <w:p>
      <w:pPr>
        <w:spacing w:before="80" w:after="80" w:line="300"/>
        <w:jc w:val="both"/>
      </w:pPr>
      <w:r>
        <w:rPr>
          <w:rFonts w:ascii="Garamond" w:cs="Garamond" w:eastAsia="Garamond" w:hAnsi="Garamond"/>
          <w:i w:val="false"/>
          <w:iCs w:val="false"/>
          <w:color w:val="1A1710"/>
          <w:sz w:val="22"/>
          <w:szCs w:val="22"/>
        </w:rPr>
        <w:t xml:space="preserve">Law school teaches you to apply rules to facts and reach conclusions. What it does not teach — and what jurisprudence has never given practitioners a formal tool for — is structural diagnosis: identifying not just that a rule was violated, but why a legal system or argument is internally self-defeating, and where exactly the self-defeat is located.</w:t>
      </w:r>
    </w:p>
    <w:p>
      <w:pPr>
        <w:spacing w:before="80" w:after="80" w:line="300"/>
        <w:jc w:val="both"/>
      </w:pPr>
      <w:r>
        <w:rPr>
          <w:rFonts w:ascii="Garamond" w:cs="Garamond" w:eastAsia="Garamond" w:hAnsi="Garamond"/>
          <w:i w:val="false"/>
          <w:iCs w:val="false"/>
          <w:color w:val="1A1710"/>
          <w:sz w:val="22"/>
          <w:szCs w:val="22"/>
        </w:rPr>
        <w:t xml:space="preserve">The standard frameworks each capture one dimension of legal life:</w:t>
      </w:r>
    </w:p>
    <w:p>
      <w:pPr>
        <w:pStyle w:val="ListParagraph"/>
        <w:numPr>
          <w:ilvl w:val="0"/>
          <w:numId w:val="2"/>
        </w:numPr>
        <w:spacing w:before="40" w:after="40"/>
      </w:pPr>
      <w:r>
        <w:rPr>
          <w:rFonts w:ascii="Garamond" w:cs="Garamond" w:eastAsia="Garamond" w:hAnsi="Garamond"/>
          <w:color w:val="1A1710"/>
          <w:sz w:val="22"/>
          <w:szCs w:val="22"/>
        </w:rPr>
        <w:t xml:space="preserve">Natural Law asks whether law is just — and conflates the conditions for moral legitimacy with the conditions for legal existence.</w:t>
      </w:r>
    </w:p>
    <w:p>
      <w:pPr>
        <w:pStyle w:val="ListParagraph"/>
        <w:numPr>
          <w:ilvl w:val="0"/>
          <w:numId w:val="2"/>
        </w:numPr>
        <w:spacing w:before="40" w:after="40"/>
      </w:pPr>
      <w:r>
        <w:rPr>
          <w:rFonts w:ascii="Garamond" w:cs="Garamond" w:eastAsia="Garamond" w:hAnsi="Garamond"/>
          <w:color w:val="1A1710"/>
          <w:sz w:val="22"/>
          <w:szCs w:val="22"/>
        </w:rPr>
        <w:t xml:space="preserve">Legal Positivism asks whether a rule is valid by social sources — and has no mechanism for measuring accumulated structural instability.</w:t>
      </w:r>
    </w:p>
    <w:p>
      <w:pPr>
        <w:pStyle w:val="ListParagraph"/>
        <w:numPr>
          <w:ilvl w:val="0"/>
          <w:numId w:val="2"/>
        </w:numPr>
        <w:spacing w:before="40" w:after="40"/>
      </w:pPr>
      <w:r>
        <w:rPr>
          <w:rFonts w:ascii="Garamond" w:cs="Garamond" w:eastAsia="Garamond" w:hAnsi="Garamond"/>
          <w:color w:val="1A1710"/>
          <w:sz w:val="22"/>
          <w:szCs w:val="22"/>
        </w:rPr>
        <w:t xml:space="preserve">Legal Realism asks what courts will actually do — and reduces legal validity to enforcement, losing the capacity for internal critique.</w:t>
      </w:r>
    </w:p>
    <w:p>
      <w:pPr>
        <w:pStyle w:val="ListParagraph"/>
        <w:numPr>
          <w:ilvl w:val="0"/>
          <w:numId w:val="2"/>
        </w:numPr>
        <w:spacing w:before="40" w:after="40"/>
      </w:pPr>
      <w:r>
        <w:rPr>
          <w:rFonts w:ascii="Garamond" w:cs="Garamond" w:eastAsia="Garamond" w:hAnsi="Garamond"/>
          <w:color w:val="1A1710"/>
          <w:sz w:val="22"/>
          <w:szCs w:val="22"/>
        </w:rPr>
        <w:t xml:space="preserve">Interpretivism asks what interpretation makes law the best it can be — and requires an idealized interpreter unavailable in fractured legal systems.</w:t>
      </w:r>
    </w:p>
    <w:p>
      <w:pPr>
        <w:spacing w:before="80" w:after="80" w:line="300"/>
        <w:jc w:val="both"/>
      </w:pPr>
      <w:r>
        <w:rPr>
          <w:rFonts w:ascii="Garamond" w:cs="Garamond" w:eastAsia="Garamond" w:hAnsi="Garamond"/>
          <w:i w:val="false"/>
          <w:iCs w:val="false"/>
          <w:color w:val="1A1710"/>
          <w:sz w:val="22"/>
          <w:szCs w:val="22"/>
        </w:rPr>
        <w:t xml:space="preserve">SOoL fills the gap beneath all of these frameworks. It asks: does the legal chain close without structural self-defeat? This is a question about the architecture of the law — not about its morality, its social sources, or its likely enforcement.</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C8B8" w:sz="2"/>
              <w:left w:val="thick" w:color="B8860B" w:sz="8"/>
              <w:bottom w:val="single" w:color="D0C8B8" w:sz="2"/>
              <w:right w:val="single" w:color="D0C8B8" w:sz="2"/>
            </w:tcBorders>
            <w:shd w:fill="FFF8E8" w:val="clear"/>
            <w:tcMar>
              <w:top w:type="dxa" w:w="120"/>
              <w:left w:type="dxa" w:w="200"/>
              <w:bottom w:type="dxa" w:w="120"/>
              <w:right w:type="dxa" w:w="200"/>
            </w:tcMar>
          </w:tcPr>
          <w:p>
            <w:pPr>
              <w:spacing w:before="60" w:after="80"/>
            </w:pPr>
            <w:r>
              <w:rPr>
                <w:rFonts w:ascii="Georgia" w:cs="Georgia" w:eastAsia="Georgia" w:hAnsi="Georgia"/>
                <w:b/>
                <w:bCs/>
                <w:color w:val="B8860B"/>
                <w:sz w:val="20"/>
                <w:szCs w:val="20"/>
              </w:rPr>
              <w:t xml:space="preserve">Core Thesis</w:t>
            </w:r>
          </w:p>
          <w:p>
            <w:pPr>
              <w:spacing w:before="40" w:after="40"/>
              <w:jc w:val="center"/>
            </w:pPr>
            <w:r>
              <w:rPr>
                <w:rFonts w:ascii="Georgia" w:cs="Georgia" w:eastAsia="Georgia" w:hAnsi="Georgia"/>
                <w:i/>
                <w:iCs/>
                <w:color w:val="2A1A0A"/>
                <w:sz w:val="22"/>
                <w:szCs w:val="22"/>
              </w:rPr>
              <w:t xml:space="preserve">"Law is the architecture of social being — sustained through recognition, obligation, and institutional repair. SOoL asks whether that architecture holds."</w:t>
            </w:r>
          </w:p>
        </w:tc>
      </w:tr>
    </w:tbl>
    <w:p>
      <w:pPr>
        <w:pStyle w:val="Heading2"/>
        <w:spacing w:before="320" w:after="80"/>
      </w:pPr>
      <w:r>
        <w:rPr>
          <w:rFonts w:ascii="Georgia" w:cs="Georgia" w:eastAsia="Georgia" w:hAnsi="Georgia"/>
          <w:b/>
          <w:bCs/>
          <w:color w:val="0D0B08"/>
          <w:sz w:val="24"/>
          <w:szCs w:val="24"/>
        </w:rPr>
        <w:t xml:space="preserve">1.2 The Minimum Legal Chain (MLC)</w:t>
      </w:r>
    </w:p>
    <w:p>
      <w:pPr>
        <w:spacing w:before="80" w:after="80" w:line="300"/>
        <w:jc w:val="both"/>
      </w:pPr>
      <w:r>
        <w:rPr>
          <w:rFonts w:ascii="Garamond" w:cs="Garamond" w:eastAsia="Garamond" w:hAnsi="Garamond"/>
          <w:i w:val="false"/>
          <w:iCs w:val="false"/>
          <w:color w:val="1A1710"/>
          <w:sz w:val="22"/>
          <w:szCs w:val="22"/>
        </w:rPr>
        <w:t xml:space="preserve">The MLC is SOoL's central diagnostic tool. It holds that a legal effect is valid only if each of eight numbered positions is satisfied in sequence. Think of it as a chain: if any link fails, the effect does not validly attach — or attaches under structural stress that accumulates as contradiction debt.</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1800"/>
        <w:gridCol w:w="6840"/>
      </w:tblGrid>
      <w:tr>
        <w:tc>
          <w:tcPr>
            <w:tcW w:type="dxa" w:w="720"/>
            <w:tcBorders>
              <w:top w:val="single" w:color="D0C8B8" w:sz="2"/>
              <w:left w:val="single" w:color="D0C8B8" w:sz="2"/>
              <w:bottom w:val="single" w:color="D0C8B8" w:sz="2"/>
              <w:right w:val="single" w:color="D0C8B8" w:sz="2"/>
            </w:tcBorders>
            <w:shd w:fill="1A1510" w:val="clear"/>
            <w:tcMar>
              <w:top w:type="dxa" w:w="60"/>
              <w:left w:type="dxa" w:w="80"/>
              <w:bottom w:type="dxa" w:w="60"/>
              <w:right w:type="dxa" w:w="80"/>
            </w:tcMar>
          </w:tcPr>
          <w:p>
            <w:pPr>
              <w:jc w:val="center"/>
            </w:pPr>
            <w:r>
              <w:rPr>
                <w:rFonts w:ascii="Courier New" w:cs="Courier New" w:eastAsia="Courier New" w:hAnsi="Courier New"/>
                <w:b/>
                <w:bCs/>
                <w:color w:val="8B7D6B"/>
                <w:sz w:val="16"/>
                <w:szCs w:val="16"/>
              </w:rPr>
              <w:t xml:space="preserve">#</w:t>
            </w:r>
          </w:p>
        </w:tc>
        <w:tc>
          <w:tcPr>
            <w:tcW w:type="dxa" w:w="1800"/>
            <w:tcBorders>
              <w:top w:val="single" w:color="D0C8B8" w:sz="2"/>
              <w:left w:val="single" w:color="D0C8B8" w:sz="2"/>
              <w:bottom w:val="single" w:color="D0C8B8" w:sz="2"/>
              <w:right w:val="single" w:color="D0C8B8" w:sz="2"/>
            </w:tcBorders>
            <w:shd w:fill="1A1510" w:val="clear"/>
            <w:tcMar>
              <w:top w:type="dxa" w:w="60"/>
              <w:left w:type="dxa" w:w="80"/>
              <w:bottom w:type="dxa" w:w="60"/>
              <w:right w:type="dxa" w:w="80"/>
            </w:tcMar>
          </w:tcPr>
          <w:p>
            <w:r>
              <w:rPr>
                <w:rFonts w:ascii="Courier New" w:cs="Courier New" w:eastAsia="Courier New" w:hAnsi="Courier New"/>
                <w:b/>
                <w:bCs/>
                <w:color w:val="8B7D6B"/>
                <w:sz w:val="16"/>
                <w:szCs w:val="16"/>
              </w:rPr>
              <w:t xml:space="preserve">CLUSTER</w:t>
            </w:r>
          </w:p>
        </w:tc>
        <w:tc>
          <w:tcPr>
            <w:tcW w:type="dxa" w:w="6840"/>
            <w:tcBorders>
              <w:top w:val="single" w:color="D0C8B8" w:sz="2"/>
              <w:left w:val="single" w:color="D0C8B8" w:sz="2"/>
              <w:bottom w:val="single" w:color="D0C8B8" w:sz="2"/>
              <w:right w:val="single" w:color="D0C8B8" w:sz="2"/>
            </w:tcBorders>
            <w:shd w:fill="1A1510" w:val="clear"/>
            <w:tcMar>
              <w:top w:type="dxa" w:w="60"/>
              <w:left w:type="dxa" w:w="120"/>
              <w:bottom w:type="dxa" w:w="60"/>
              <w:right w:type="dxa" w:w="80"/>
            </w:tcMar>
          </w:tcPr>
          <w:p>
            <w:r>
              <w:rPr>
                <w:rFonts w:ascii="Courier New" w:cs="Courier New" w:eastAsia="Courier New" w:hAnsi="Courier New"/>
                <w:b/>
                <w:bCs/>
                <w:color w:val="8B7D6B"/>
                <w:sz w:val="16"/>
                <w:szCs w:val="16"/>
              </w:rPr>
              <w:t xml:space="preserve">NODE</w:t>
            </w:r>
          </w:p>
        </w:tc>
      </w:tr>
      <w:tr>
        <w:tc>
          <w:tcPr>
            <w:tcW w:type="dxa" w:w="720"/>
            <w:tcBorders>
              <w:top w:val="single" w:color="D0C8B8" w:sz="2"/>
              <w:left w:val="single" w:color="D0C8B8" w:sz="2"/>
              <w:bottom w:val="single" w:color="D0C8B8" w:sz="2"/>
              <w:right w:val="single" w:color="D0C8B8" w:sz="2"/>
            </w:tcBorders>
            <w:shd w:fill="2A2520" w:val="clear"/>
            <w:tcMar>
              <w:top w:type="dxa" w:w="60"/>
              <w:left w:type="dxa" w:w="80"/>
              <w:bottom w:type="dxa" w:w="60"/>
              <w:right w:type="dxa" w:w="80"/>
            </w:tcMar>
          </w:tcPr>
          <w:p>
            <w:pPr>
              <w:jc w:val="center"/>
            </w:pPr>
            <w:r>
              <w:rPr>
                <w:rFonts w:ascii="Courier New" w:cs="Courier New" w:eastAsia="Courier New" w:hAnsi="Courier New"/>
                <w:b/>
                <w:bCs/>
                <w:color w:val="D4A017"/>
                <w:sz w:val="18"/>
                <w:szCs w:val="18"/>
              </w:rPr>
              <w:t xml:space="preserve">1</w:t>
            </w:r>
          </w:p>
        </w:tc>
        <w:tc>
          <w:tcPr>
            <w:tcW w:type="dxa" w:w="1800"/>
            <w:tcBorders>
              <w:top w:val="single" w:color="D0C8B8" w:sz="2"/>
              <w:left w:val="single" w:color="D0C8B8" w:sz="2"/>
              <w:bottom w:val="single" w:color="D0C8B8" w:sz="2"/>
              <w:right w:val="single" w:color="D0C8B8" w:sz="2"/>
            </w:tcBorders>
            <w:shd w:fill="7A5C10" w:val="clear"/>
            <w:tcMar>
              <w:top w:type="dxa" w:w="60"/>
              <w:left w:type="dxa" w:w="80"/>
              <w:bottom w:type="dxa" w:w="60"/>
              <w:right w:type="dxa" w:w="80"/>
            </w:tcMar>
          </w:tcPr>
          <w:p>
            <w:r>
              <w:rPr>
                <w:rFonts w:ascii="Courier New" w:cs="Courier New" w:eastAsia="Courier New" w:hAnsi="Courier New"/>
                <w:b/>
                <w:bCs/>
                <w:color w:val="FFFFFF"/>
                <w:sz w:val="16"/>
                <w:szCs w:val="16"/>
              </w:rPr>
              <w:t xml:space="preserve">AUTHORITY</w:t>
            </w:r>
          </w:p>
        </w:tc>
        <w:tc>
          <w:tcPr>
            <w:tcW w:type="dxa" w:w="6840"/>
            <w:tcBorders>
              <w:top w:val="single" w:color="D0C8B8" w:sz="2"/>
              <w:left w:val="single" w:color="D0C8B8" w:sz="2"/>
              <w:bottom w:val="single" w:color="D0C8B8" w:sz="2"/>
              <w:right w:val="single" w:color="D0C8B8" w:sz="2"/>
            </w:tcBorders>
            <w:shd w:fill="FFF8E8" w:val="clear"/>
            <w:tcMar>
              <w:top w:type="dxa" w:w="60"/>
              <w:left w:type="dxa" w:w="120"/>
              <w:bottom w:type="dxa" w:w="60"/>
              <w:right w:type="dxa" w:w="80"/>
            </w:tcMar>
          </w:tcPr>
          <w:p>
            <w:r>
              <w:rPr>
                <w:rFonts w:ascii="Garamond" w:cs="Garamond" w:eastAsia="Garamond" w:hAnsi="Garamond"/>
                <w:color w:val="1A1710"/>
                <w:sz w:val="20"/>
                <w:szCs w:val="20"/>
              </w:rPr>
              <w:t xml:space="preserve">Source of Authority</w:t>
            </w:r>
          </w:p>
        </w:tc>
      </w:tr>
      <w:tr>
        <w:tc>
          <w:tcPr>
            <w:tcW w:type="dxa" w:w="720"/>
            <w:tcBorders>
              <w:top w:val="single" w:color="D0C8B8" w:sz="2"/>
              <w:left w:val="single" w:color="D0C8B8" w:sz="2"/>
              <w:bottom w:val="single" w:color="D0C8B8" w:sz="2"/>
              <w:right w:val="single" w:color="D0C8B8" w:sz="2"/>
            </w:tcBorders>
            <w:shd w:fill="2A2520" w:val="clear"/>
            <w:tcMar>
              <w:top w:type="dxa" w:w="60"/>
              <w:left w:type="dxa" w:w="80"/>
              <w:bottom w:type="dxa" w:w="60"/>
              <w:right w:type="dxa" w:w="80"/>
            </w:tcMar>
          </w:tcPr>
          <w:p>
            <w:pPr>
              <w:jc w:val="center"/>
            </w:pPr>
            <w:r>
              <w:rPr>
                <w:rFonts w:ascii="Courier New" w:cs="Courier New" w:eastAsia="Courier New" w:hAnsi="Courier New"/>
                <w:b/>
                <w:bCs/>
                <w:color w:val="D4A017"/>
                <w:sz w:val="18"/>
                <w:szCs w:val="18"/>
              </w:rPr>
              <w:t xml:space="preserve">2</w:t>
            </w:r>
          </w:p>
        </w:tc>
        <w:tc>
          <w:tcPr>
            <w:tcW w:type="dxa" w:w="1800"/>
            <w:tcBorders>
              <w:top w:val="single" w:color="D0C8B8" w:sz="2"/>
              <w:left w:val="single" w:color="D0C8B8" w:sz="2"/>
              <w:bottom w:val="single" w:color="D0C8B8" w:sz="2"/>
              <w:right w:val="single" w:color="D0C8B8" w:sz="2"/>
            </w:tcBorders>
            <w:shd w:fill="7A5C10" w:val="clear"/>
            <w:tcMar>
              <w:top w:type="dxa" w:w="60"/>
              <w:left w:type="dxa" w:w="80"/>
              <w:bottom w:type="dxa" w:w="60"/>
              <w:right w:type="dxa" w:w="80"/>
            </w:tcMar>
          </w:tcPr>
          <w:p>
            <w:r>
              <w:rPr>
                <w:rFonts w:ascii="Courier New" w:cs="Courier New" w:eastAsia="Courier New" w:hAnsi="Courier New"/>
                <w:b/>
                <w:bCs/>
                <w:color w:val="FFFFFF"/>
                <w:sz w:val="16"/>
                <w:szCs w:val="16"/>
              </w:rPr>
              <w:t xml:space="preserve">AUTHORITY</w:t>
            </w:r>
          </w:p>
        </w:tc>
        <w:tc>
          <w:tcPr>
            <w:tcW w:type="dxa" w:w="6840"/>
            <w:tcBorders>
              <w:top w:val="single" w:color="D0C8B8" w:sz="2"/>
              <w:left w:val="single" w:color="D0C8B8" w:sz="2"/>
              <w:bottom w:val="single" w:color="D0C8B8" w:sz="2"/>
              <w:right w:val="single" w:color="D0C8B8" w:sz="2"/>
            </w:tcBorders>
            <w:shd w:fill="FFF8E8" w:val="clear"/>
            <w:tcMar>
              <w:top w:type="dxa" w:w="60"/>
              <w:left w:type="dxa" w:w="120"/>
              <w:bottom w:type="dxa" w:w="60"/>
              <w:right w:type="dxa" w:w="80"/>
            </w:tcMar>
          </w:tcPr>
          <w:p>
            <w:r>
              <w:rPr>
                <w:rFonts w:ascii="Garamond" w:cs="Garamond" w:eastAsia="Garamond" w:hAnsi="Garamond"/>
                <w:color w:val="1A1710"/>
                <w:sz w:val="20"/>
                <w:szCs w:val="20"/>
              </w:rPr>
              <w:t xml:space="preserve">Norm</w:t>
            </w:r>
          </w:p>
        </w:tc>
      </w:tr>
      <w:tr>
        <w:tc>
          <w:tcPr>
            <w:tcW w:type="dxa" w:w="720"/>
            <w:tcBorders>
              <w:top w:val="single" w:color="D0C8B8" w:sz="2"/>
              <w:left w:val="single" w:color="D0C8B8" w:sz="2"/>
              <w:bottom w:val="single" w:color="D0C8B8" w:sz="2"/>
              <w:right w:val="single" w:color="D0C8B8" w:sz="2"/>
            </w:tcBorders>
            <w:shd w:fill="2A2520" w:val="clear"/>
            <w:tcMar>
              <w:top w:type="dxa" w:w="60"/>
              <w:left w:type="dxa" w:w="80"/>
              <w:bottom w:type="dxa" w:w="60"/>
              <w:right w:type="dxa" w:w="80"/>
            </w:tcMar>
          </w:tcPr>
          <w:p>
            <w:pPr>
              <w:jc w:val="center"/>
            </w:pPr>
            <w:r>
              <w:rPr>
                <w:rFonts w:ascii="Courier New" w:cs="Courier New" w:eastAsia="Courier New" w:hAnsi="Courier New"/>
                <w:b/>
                <w:bCs/>
                <w:color w:val="D4A017"/>
                <w:sz w:val="18"/>
                <w:szCs w:val="18"/>
              </w:rPr>
              <w:t xml:space="preserve">3</w:t>
            </w:r>
          </w:p>
        </w:tc>
        <w:tc>
          <w:tcPr>
            <w:tcW w:type="dxa" w:w="1800"/>
            <w:tcBorders>
              <w:top w:val="single" w:color="D0C8B8" w:sz="2"/>
              <w:left w:val="single" w:color="D0C8B8" w:sz="2"/>
              <w:bottom w:val="single" w:color="D0C8B8" w:sz="2"/>
              <w:right w:val="single" w:color="D0C8B8" w:sz="2"/>
            </w:tcBorders>
            <w:shd w:fill="7A5C10" w:val="clear"/>
            <w:tcMar>
              <w:top w:type="dxa" w:w="60"/>
              <w:left w:type="dxa" w:w="80"/>
              <w:bottom w:type="dxa" w:w="60"/>
              <w:right w:type="dxa" w:w="80"/>
            </w:tcMar>
          </w:tcPr>
          <w:p>
            <w:r>
              <w:rPr>
                <w:rFonts w:ascii="Courier New" w:cs="Courier New" w:eastAsia="Courier New" w:hAnsi="Courier New"/>
                <w:b/>
                <w:bCs/>
                <w:color w:val="FFFFFF"/>
                <w:sz w:val="16"/>
                <w:szCs w:val="16"/>
              </w:rPr>
              <w:t xml:space="preserve">AUTHORITY</w:t>
            </w:r>
          </w:p>
        </w:tc>
        <w:tc>
          <w:tcPr>
            <w:tcW w:type="dxa" w:w="6840"/>
            <w:tcBorders>
              <w:top w:val="single" w:color="D0C8B8" w:sz="2"/>
              <w:left w:val="single" w:color="D0C8B8" w:sz="2"/>
              <w:bottom w:val="single" w:color="D0C8B8" w:sz="2"/>
              <w:right w:val="single" w:color="D0C8B8" w:sz="2"/>
            </w:tcBorders>
            <w:shd w:fill="FFF8E8" w:val="clear"/>
            <w:tcMar>
              <w:top w:type="dxa" w:w="60"/>
              <w:left w:type="dxa" w:w="120"/>
              <w:bottom w:type="dxa" w:w="60"/>
              <w:right w:type="dxa" w:w="80"/>
            </w:tcMar>
          </w:tcPr>
          <w:p>
            <w:r>
              <w:rPr>
                <w:rFonts w:ascii="Garamond" w:cs="Garamond" w:eastAsia="Garamond" w:hAnsi="Garamond"/>
                <w:color w:val="1A1710"/>
                <w:sz w:val="20"/>
                <w:szCs w:val="20"/>
              </w:rPr>
              <w:t xml:space="preserve">Actor in Role</w:t>
            </w:r>
          </w:p>
        </w:tc>
      </w:tr>
      <w:tr>
        <w:tc>
          <w:tcPr>
            <w:tcW w:type="dxa" w:w="720"/>
            <w:tcBorders>
              <w:top w:val="single" w:color="D0C8B8" w:sz="2"/>
              <w:left w:val="single" w:color="D0C8B8" w:sz="2"/>
              <w:bottom w:val="single" w:color="D0C8B8" w:sz="2"/>
              <w:right w:val="single" w:color="D0C8B8" w:sz="2"/>
            </w:tcBorders>
            <w:shd w:fill="2A2520" w:val="clear"/>
            <w:tcMar>
              <w:top w:type="dxa" w:w="60"/>
              <w:left w:type="dxa" w:w="80"/>
              <w:bottom w:type="dxa" w:w="60"/>
              <w:right w:type="dxa" w:w="80"/>
            </w:tcMar>
          </w:tcPr>
          <w:p>
            <w:pPr>
              <w:jc w:val="center"/>
            </w:pPr>
            <w:r>
              <w:rPr>
                <w:rFonts w:ascii="Courier New" w:cs="Courier New" w:eastAsia="Courier New" w:hAnsi="Courier New"/>
                <w:b/>
                <w:bCs/>
                <w:color w:val="D4A017"/>
                <w:sz w:val="18"/>
                <w:szCs w:val="18"/>
              </w:rPr>
              <w:t xml:space="preserve">4</w:t>
            </w:r>
          </w:p>
        </w:tc>
        <w:tc>
          <w:tcPr>
            <w:tcW w:type="dxa" w:w="1800"/>
            <w:tcBorders>
              <w:top w:val="single" w:color="D0C8B8" w:sz="2"/>
              <w:left w:val="single" w:color="D0C8B8" w:sz="2"/>
              <w:bottom w:val="single" w:color="D0C8B8" w:sz="2"/>
              <w:right w:val="single" w:color="D0C8B8" w:sz="2"/>
            </w:tcBorders>
            <w:shd w:fill="1A3A2A" w:val="clear"/>
            <w:tcMar>
              <w:top w:type="dxa" w:w="60"/>
              <w:left w:type="dxa" w:w="80"/>
              <w:bottom w:type="dxa" w:w="60"/>
              <w:right w:type="dxa" w:w="80"/>
            </w:tcMar>
          </w:tcPr>
          <w:p>
            <w:r>
              <w:rPr>
                <w:rFonts w:ascii="Courier New" w:cs="Courier New" w:eastAsia="Courier New" w:hAnsi="Courier New"/>
                <w:b/>
                <w:bCs/>
                <w:color w:val="FFFFFF"/>
                <w:sz w:val="16"/>
                <w:szCs w:val="16"/>
              </w:rPr>
              <w:t xml:space="preserve">EFFECT</w:t>
            </w:r>
          </w:p>
        </w:tc>
        <w:tc>
          <w:tcPr>
            <w:tcW w:type="dxa" w:w="6840"/>
            <w:tcBorders>
              <w:top w:val="single" w:color="D0C8B8" w:sz="2"/>
              <w:left w:val="single" w:color="D0C8B8" w:sz="2"/>
              <w:bottom w:val="single" w:color="D0C8B8" w:sz="2"/>
              <w:right w:val="single" w:color="D0C8B8" w:sz="2"/>
            </w:tcBorders>
            <w:shd w:fill="F0FFF4" w:val="clear"/>
            <w:tcMar>
              <w:top w:type="dxa" w:w="60"/>
              <w:left w:type="dxa" w:w="120"/>
              <w:bottom w:type="dxa" w:w="60"/>
              <w:right w:type="dxa" w:w="80"/>
            </w:tcMar>
          </w:tcPr>
          <w:p>
            <w:r>
              <w:rPr>
                <w:rFonts w:ascii="Garamond" w:cs="Garamond" w:eastAsia="Garamond" w:hAnsi="Garamond"/>
                <w:color w:val="1A1710"/>
                <w:sz w:val="20"/>
                <w:szCs w:val="20"/>
              </w:rPr>
              <w:t xml:space="preserve">Triggering Facts</w:t>
            </w:r>
          </w:p>
        </w:tc>
      </w:tr>
      <w:tr>
        <w:tc>
          <w:tcPr>
            <w:tcW w:type="dxa" w:w="720"/>
            <w:tcBorders>
              <w:top w:val="single" w:color="D0C8B8" w:sz="2"/>
              <w:left w:val="single" w:color="D0C8B8" w:sz="2"/>
              <w:bottom w:val="single" w:color="D0C8B8" w:sz="2"/>
              <w:right w:val="single" w:color="D0C8B8" w:sz="2"/>
            </w:tcBorders>
            <w:shd w:fill="2A2520" w:val="clear"/>
            <w:tcMar>
              <w:top w:type="dxa" w:w="60"/>
              <w:left w:type="dxa" w:w="80"/>
              <w:bottom w:type="dxa" w:w="60"/>
              <w:right w:type="dxa" w:w="80"/>
            </w:tcMar>
          </w:tcPr>
          <w:p>
            <w:pPr>
              <w:jc w:val="center"/>
            </w:pPr>
            <w:r>
              <w:rPr>
                <w:rFonts w:ascii="Courier New" w:cs="Courier New" w:eastAsia="Courier New" w:hAnsi="Courier New"/>
                <w:b/>
                <w:bCs/>
                <w:color w:val="D4A017"/>
                <w:sz w:val="18"/>
                <w:szCs w:val="18"/>
              </w:rPr>
              <w:t xml:space="preserve">5</w:t>
            </w:r>
          </w:p>
        </w:tc>
        <w:tc>
          <w:tcPr>
            <w:tcW w:type="dxa" w:w="1800"/>
            <w:tcBorders>
              <w:top w:val="single" w:color="D0C8B8" w:sz="2"/>
              <w:left w:val="single" w:color="D0C8B8" w:sz="2"/>
              <w:bottom w:val="single" w:color="D0C8B8" w:sz="2"/>
              <w:right w:val="single" w:color="D0C8B8" w:sz="2"/>
            </w:tcBorders>
            <w:shd w:fill="1A3A2A" w:val="clear"/>
            <w:tcMar>
              <w:top w:type="dxa" w:w="60"/>
              <w:left w:type="dxa" w:w="80"/>
              <w:bottom w:type="dxa" w:w="60"/>
              <w:right w:type="dxa" w:w="80"/>
            </w:tcMar>
          </w:tcPr>
          <w:p>
            <w:r>
              <w:rPr>
                <w:rFonts w:ascii="Courier New" w:cs="Courier New" w:eastAsia="Courier New" w:hAnsi="Courier New"/>
                <w:b/>
                <w:bCs/>
                <w:color w:val="FFFFFF"/>
                <w:sz w:val="16"/>
                <w:szCs w:val="16"/>
              </w:rPr>
              <w:t xml:space="preserve">EFFECT</w:t>
            </w:r>
          </w:p>
        </w:tc>
        <w:tc>
          <w:tcPr>
            <w:tcW w:type="dxa" w:w="6840"/>
            <w:tcBorders>
              <w:top w:val="single" w:color="D0C8B8" w:sz="2"/>
              <w:left w:val="single" w:color="D0C8B8" w:sz="2"/>
              <w:bottom w:val="single" w:color="D0C8B8" w:sz="2"/>
              <w:right w:val="single" w:color="D0C8B8" w:sz="2"/>
            </w:tcBorders>
            <w:shd w:fill="F0FFF4" w:val="clear"/>
            <w:tcMar>
              <w:top w:type="dxa" w:w="60"/>
              <w:left w:type="dxa" w:w="120"/>
              <w:bottom w:type="dxa" w:w="60"/>
              <w:right w:type="dxa" w:w="80"/>
            </w:tcMar>
          </w:tcPr>
          <w:p>
            <w:r>
              <w:rPr>
                <w:rFonts w:ascii="Garamond" w:cs="Garamond" w:eastAsia="Garamond" w:hAnsi="Garamond"/>
                <w:color w:val="1A1710"/>
                <w:sz w:val="20"/>
                <w:szCs w:val="20"/>
              </w:rPr>
              <w:t xml:space="preserve">Legal Act or Omission</w:t>
            </w:r>
          </w:p>
        </w:tc>
      </w:tr>
      <w:tr>
        <w:tc>
          <w:tcPr>
            <w:tcW w:type="dxa" w:w="720"/>
            <w:tcBorders>
              <w:top w:val="single" w:color="D0C8B8" w:sz="2"/>
              <w:left w:val="single" w:color="D0C8B8" w:sz="2"/>
              <w:bottom w:val="single" w:color="D0C8B8" w:sz="2"/>
              <w:right w:val="single" w:color="D0C8B8" w:sz="2"/>
            </w:tcBorders>
            <w:shd w:fill="2A2520" w:val="clear"/>
            <w:tcMar>
              <w:top w:type="dxa" w:w="60"/>
              <w:left w:type="dxa" w:w="80"/>
              <w:bottom w:type="dxa" w:w="60"/>
              <w:right w:type="dxa" w:w="80"/>
            </w:tcMar>
          </w:tcPr>
          <w:p>
            <w:pPr>
              <w:jc w:val="center"/>
            </w:pPr>
            <w:r>
              <w:rPr>
                <w:rFonts w:ascii="Courier New" w:cs="Courier New" w:eastAsia="Courier New" w:hAnsi="Courier New"/>
                <w:b/>
                <w:bCs/>
                <w:color w:val="D4A017"/>
                <w:sz w:val="18"/>
                <w:szCs w:val="18"/>
              </w:rPr>
              <w:t xml:space="preserve">6</w:t>
            </w:r>
          </w:p>
        </w:tc>
        <w:tc>
          <w:tcPr>
            <w:tcW w:type="dxa" w:w="1800"/>
            <w:tcBorders>
              <w:top w:val="single" w:color="D0C8B8" w:sz="2"/>
              <w:left w:val="single" w:color="D0C8B8" w:sz="2"/>
              <w:bottom w:val="single" w:color="D0C8B8" w:sz="2"/>
              <w:right w:val="single" w:color="D0C8B8" w:sz="2"/>
            </w:tcBorders>
            <w:shd w:fill="1A2A4A" w:val="clear"/>
            <w:tcMar>
              <w:top w:type="dxa" w:w="60"/>
              <w:left w:type="dxa" w:w="80"/>
              <w:bottom w:type="dxa" w:w="60"/>
              <w:right w:type="dxa" w:w="80"/>
            </w:tcMar>
          </w:tcPr>
          <w:p>
            <w:r>
              <w:rPr>
                <w:rFonts w:ascii="Courier New" w:cs="Courier New" w:eastAsia="Courier New" w:hAnsi="Courier New"/>
                <w:b/>
                <w:bCs/>
                <w:color w:val="FFFFFF"/>
                <w:sz w:val="16"/>
                <w:szCs w:val="16"/>
              </w:rPr>
              <w:t xml:space="preserve">RECOGNITION</w:t>
            </w:r>
          </w:p>
        </w:tc>
        <w:tc>
          <w:tcPr>
            <w:tcW w:type="dxa" w:w="6840"/>
            <w:tcBorders>
              <w:top w:val="single" w:color="D0C8B8" w:sz="2"/>
              <w:left w:val="single" w:color="D0C8B8" w:sz="2"/>
              <w:bottom w:val="single" w:color="D0C8B8" w:sz="2"/>
              <w:right w:val="single" w:color="D0C8B8" w:sz="2"/>
            </w:tcBorders>
            <w:shd w:fill="F0F4FF" w:val="clear"/>
            <w:tcMar>
              <w:top w:type="dxa" w:w="60"/>
              <w:left w:type="dxa" w:w="120"/>
              <w:bottom w:type="dxa" w:w="60"/>
              <w:right w:type="dxa" w:w="80"/>
            </w:tcMar>
          </w:tcPr>
          <w:p>
            <w:r>
              <w:rPr>
                <w:rFonts w:ascii="Garamond" w:cs="Garamond" w:eastAsia="Garamond" w:hAnsi="Garamond"/>
                <w:color w:val="1A1710"/>
                <w:sz w:val="20"/>
                <w:szCs w:val="20"/>
              </w:rPr>
              <w:t xml:space="preserve">Target</w:t>
            </w:r>
          </w:p>
        </w:tc>
      </w:tr>
      <w:tr>
        <w:tc>
          <w:tcPr>
            <w:tcW w:type="dxa" w:w="720"/>
            <w:tcBorders>
              <w:top w:val="single" w:color="D0C8B8" w:sz="2"/>
              <w:left w:val="single" w:color="D0C8B8" w:sz="2"/>
              <w:bottom w:val="single" w:color="D0C8B8" w:sz="2"/>
              <w:right w:val="single" w:color="D0C8B8" w:sz="2"/>
            </w:tcBorders>
            <w:shd w:fill="2A2520" w:val="clear"/>
            <w:tcMar>
              <w:top w:type="dxa" w:w="60"/>
              <w:left w:type="dxa" w:w="80"/>
              <w:bottom w:type="dxa" w:w="60"/>
              <w:right w:type="dxa" w:w="80"/>
            </w:tcMar>
          </w:tcPr>
          <w:p>
            <w:pPr>
              <w:jc w:val="center"/>
            </w:pPr>
            <w:r>
              <w:rPr>
                <w:rFonts w:ascii="Courier New" w:cs="Courier New" w:eastAsia="Courier New" w:hAnsi="Courier New"/>
                <w:b/>
                <w:bCs/>
                <w:color w:val="D4A017"/>
                <w:sz w:val="18"/>
                <w:szCs w:val="18"/>
              </w:rPr>
              <w:t xml:space="preserve">7</w:t>
            </w:r>
          </w:p>
        </w:tc>
        <w:tc>
          <w:tcPr>
            <w:tcW w:type="dxa" w:w="1800"/>
            <w:tcBorders>
              <w:top w:val="single" w:color="D0C8B8" w:sz="2"/>
              <w:left w:val="single" w:color="D0C8B8" w:sz="2"/>
              <w:bottom w:val="single" w:color="D0C8B8" w:sz="2"/>
              <w:right w:val="single" w:color="D0C8B8" w:sz="2"/>
            </w:tcBorders>
            <w:shd w:fill="1A2A4A" w:val="clear"/>
            <w:tcMar>
              <w:top w:type="dxa" w:w="60"/>
              <w:left w:type="dxa" w:w="80"/>
              <w:bottom w:type="dxa" w:w="60"/>
              <w:right w:type="dxa" w:w="80"/>
            </w:tcMar>
          </w:tcPr>
          <w:p>
            <w:r>
              <w:rPr>
                <w:rFonts w:ascii="Courier New" w:cs="Courier New" w:eastAsia="Courier New" w:hAnsi="Courier New"/>
                <w:b/>
                <w:bCs/>
                <w:color w:val="FFFFFF"/>
                <w:sz w:val="16"/>
                <w:szCs w:val="16"/>
              </w:rPr>
              <w:t xml:space="preserve">RECOGNITION</w:t>
            </w:r>
          </w:p>
        </w:tc>
        <w:tc>
          <w:tcPr>
            <w:tcW w:type="dxa" w:w="6840"/>
            <w:tcBorders>
              <w:top w:val="single" w:color="D0C8B8" w:sz="2"/>
              <w:left w:val="single" w:color="D0C8B8" w:sz="2"/>
              <w:bottom w:val="single" w:color="D0C8B8" w:sz="2"/>
              <w:right w:val="single" w:color="D0C8B8" w:sz="2"/>
            </w:tcBorders>
            <w:shd w:fill="F0F4FF" w:val="clear"/>
            <w:tcMar>
              <w:top w:type="dxa" w:w="60"/>
              <w:left w:type="dxa" w:w="120"/>
              <w:bottom w:type="dxa" w:w="60"/>
              <w:right w:type="dxa" w:w="80"/>
            </w:tcMar>
          </w:tcPr>
          <w:p>
            <w:r>
              <w:rPr>
                <w:rFonts w:ascii="Garamond" w:cs="Garamond" w:eastAsia="Garamond" w:hAnsi="Garamond"/>
                <w:color w:val="1A1710"/>
                <w:sz w:val="20"/>
                <w:szCs w:val="20"/>
              </w:rPr>
              <w:t xml:space="preserve">Legal Effect</w:t>
            </w:r>
          </w:p>
        </w:tc>
      </w:tr>
      <w:tr>
        <w:tc>
          <w:tcPr>
            <w:tcW w:type="dxa" w:w="720"/>
            <w:tcBorders>
              <w:top w:val="single" w:color="D0C8B8" w:sz="2"/>
              <w:left w:val="single" w:color="D0C8B8" w:sz="2"/>
              <w:bottom w:val="single" w:color="D0C8B8" w:sz="2"/>
              <w:right w:val="single" w:color="D0C8B8" w:sz="2"/>
            </w:tcBorders>
            <w:shd w:fill="2A2520" w:val="clear"/>
            <w:tcMar>
              <w:top w:type="dxa" w:w="60"/>
              <w:left w:type="dxa" w:w="80"/>
              <w:bottom w:type="dxa" w:w="60"/>
              <w:right w:type="dxa" w:w="80"/>
            </w:tcMar>
          </w:tcPr>
          <w:p>
            <w:pPr>
              <w:jc w:val="center"/>
            </w:pPr>
            <w:r>
              <w:rPr>
                <w:rFonts w:ascii="Courier New" w:cs="Courier New" w:eastAsia="Courier New" w:hAnsi="Courier New"/>
                <w:b/>
                <w:bCs/>
                <w:color w:val="D4A017"/>
                <w:sz w:val="18"/>
                <w:szCs w:val="18"/>
              </w:rPr>
              <w:t xml:space="preserve">8</w:t>
            </w:r>
          </w:p>
        </w:tc>
        <w:tc>
          <w:tcPr>
            <w:tcW w:type="dxa" w:w="1800"/>
            <w:tcBorders>
              <w:top w:val="single" w:color="D0C8B8" w:sz="2"/>
              <w:left w:val="single" w:color="D0C8B8" w:sz="2"/>
              <w:bottom w:val="single" w:color="D0C8B8" w:sz="2"/>
              <w:right w:val="single" w:color="D0C8B8" w:sz="2"/>
            </w:tcBorders>
            <w:shd w:fill="3A1A2A" w:val="clear"/>
            <w:tcMar>
              <w:top w:type="dxa" w:w="60"/>
              <w:left w:type="dxa" w:w="80"/>
              <w:bottom w:type="dxa" w:w="60"/>
              <w:right w:type="dxa" w:w="80"/>
            </w:tcMar>
          </w:tcPr>
          <w:p>
            <w:r>
              <w:rPr>
                <w:rFonts w:ascii="Courier New" w:cs="Courier New" w:eastAsia="Courier New" w:hAnsi="Courier New"/>
                <w:b/>
                <w:bCs/>
                <w:color w:val="FFFFFF"/>
                <w:sz w:val="16"/>
                <w:szCs w:val="16"/>
              </w:rPr>
              <w:t xml:space="preserve">REPAIR</w:t>
            </w:r>
          </w:p>
        </w:tc>
        <w:tc>
          <w:tcPr>
            <w:tcW w:type="dxa" w:w="6840"/>
            <w:tcBorders>
              <w:top w:val="single" w:color="D0C8B8" w:sz="2"/>
              <w:left w:val="single" w:color="D0C8B8" w:sz="2"/>
              <w:bottom w:val="single" w:color="D0C8B8" w:sz="2"/>
              <w:right w:val="single" w:color="D0C8B8" w:sz="2"/>
            </w:tcBorders>
            <w:shd w:fill="FFF0F4" w:val="clear"/>
            <w:tcMar>
              <w:top w:type="dxa" w:w="60"/>
              <w:left w:type="dxa" w:w="120"/>
              <w:bottom w:type="dxa" w:w="60"/>
              <w:right w:type="dxa" w:w="80"/>
            </w:tcMar>
          </w:tcPr>
          <w:p>
            <w:r>
              <w:rPr>
                <w:rFonts w:ascii="Garamond" w:cs="Garamond" w:eastAsia="Garamond" w:hAnsi="Garamond"/>
                <w:color w:val="1A1710"/>
                <w:sz w:val="20"/>
                <w:szCs w:val="20"/>
              </w:rPr>
              <w:t xml:space="preserve">Remedy</w:t>
            </w:r>
          </w:p>
        </w:tc>
      </w:tr>
    </w:tbl>
    <w:p>
      <w:pPr>
        <w:spacing w:before="80" w:after="0"/>
      </w:pPr>
      <w:r>
        <w:t xml:space="preserve"/>
      </w:r>
    </w:p>
    <w:p>
      <w:pPr>
        <w:spacing w:before="80" w:after="80" w:line="300"/>
        <w:jc w:val="both"/>
      </w:pPr>
      <w:r>
        <w:rPr>
          <w:rFonts w:ascii="Garamond" w:cs="Garamond" w:eastAsia="Garamond" w:hAnsi="Garamond"/>
          <w:i w:val="false"/>
          <w:iCs w:val="false"/>
          <w:color w:val="1A1710"/>
          <w:sz w:val="22"/>
          <w:szCs w:val="22"/>
        </w:rPr>
        <w:t xml:space="preserve">The chain organizes into four structural clusters:</w:t>
      </w:r>
    </w:p>
    <w:p>
      <w:pPr>
        <w:pStyle w:val="ListParagraph"/>
        <w:numPr>
          <w:ilvl w:val="0"/>
          <w:numId w:val="2"/>
        </w:numPr>
        <w:spacing w:before="40" w:after="40"/>
      </w:pPr>
      <w:r>
        <w:rPr>
          <w:rFonts w:ascii="Garamond" w:cs="Garamond" w:eastAsia="Garamond" w:hAnsi="Garamond"/>
          <w:color w:val="1A1710"/>
          <w:sz w:val="22"/>
          <w:szCs w:val="22"/>
        </w:rPr>
        <w:t xml:space="preserve">AUTHORITY (Nodes 1–3): The source of power, the norm it issues, and the actor properly vested in a role. If any of these fail, the legal act lacks foundation.</w:t>
      </w:r>
    </w:p>
    <w:p>
      <w:pPr>
        <w:pStyle w:val="ListParagraph"/>
        <w:numPr>
          <w:ilvl w:val="0"/>
          <w:numId w:val="2"/>
        </w:numPr>
        <w:spacing w:before="40" w:after="40"/>
      </w:pPr>
      <w:r>
        <w:rPr>
          <w:rFonts w:ascii="Garamond" w:cs="Garamond" w:eastAsia="Garamond" w:hAnsi="Garamond"/>
          <w:color w:val="1A1710"/>
          <w:sz w:val="22"/>
          <w:szCs w:val="22"/>
        </w:rPr>
        <w:t xml:space="preserve">EFFECT (Nodes 4–5): The triggering facts that activate the norm, and the act or omission that follows. Fabricated facts or procedurally defective acts break the chain here.</w:t>
      </w:r>
    </w:p>
    <w:p>
      <w:pPr>
        <w:pStyle w:val="ListParagraph"/>
        <w:numPr>
          <w:ilvl w:val="0"/>
          <w:numId w:val="2"/>
        </w:numPr>
        <w:spacing w:before="40" w:after="40"/>
      </w:pPr>
      <w:r>
        <w:rPr>
          <w:rFonts w:ascii="Garamond" w:cs="Garamond" w:eastAsia="Garamond" w:hAnsi="Garamond"/>
          <w:color w:val="1A1710"/>
          <w:sz w:val="22"/>
          <w:szCs w:val="22"/>
        </w:rPr>
        <w:t xml:space="preserve">RECOGNITION (Nodes 6–7): The target upon whom the effect is directed, and the legal effect itself. This is where Hohfeldian jural relations — rights, duties, powers, liabilities — attach. Stripping legal personhood while continuing to regulate creates a structural catastrophe at this cluster.</w:t>
      </w:r>
    </w:p>
    <w:p>
      <w:pPr>
        <w:pStyle w:val="ListParagraph"/>
        <w:numPr>
          <w:ilvl w:val="0"/>
          <w:numId w:val="2"/>
        </w:numPr>
        <w:spacing w:before="40" w:after="40"/>
      </w:pPr>
      <w:r>
        <w:rPr>
          <w:rFonts w:ascii="Garamond" w:cs="Garamond" w:eastAsia="Garamond" w:hAnsi="Garamond"/>
          <w:color w:val="1A1710"/>
          <w:sz w:val="22"/>
          <w:szCs w:val="22"/>
        </w:rPr>
        <w:t xml:space="preserve">REPAIR (Node 8): The remedy available to address breach or violation. When remedies are structurally available but politically blocked, contradiction debt accumulates without discharge.</w:t>
      </w:r>
    </w:p>
    <w:p>
      <w:pPr>
        <w:pStyle w:val="Heading2"/>
        <w:spacing w:before="320" w:after="80"/>
      </w:pPr>
      <w:r>
        <w:rPr>
          <w:rFonts w:ascii="Georgia" w:cs="Georgia" w:eastAsia="Georgia" w:hAnsi="Georgia"/>
          <w:b/>
          <w:bCs/>
          <w:color w:val="0D0B08"/>
          <w:sz w:val="24"/>
          <w:szCs w:val="24"/>
        </w:rPr>
        <w:t xml:space="preserve">1.3 Contradiction Debt</w:t>
      </w:r>
    </w:p>
    <w:p>
      <w:pPr>
        <w:spacing w:before="80" w:after="80" w:line="300"/>
        <w:jc w:val="both"/>
      </w:pPr>
      <w:r>
        <w:rPr>
          <w:rFonts w:ascii="Garamond" w:cs="Garamond" w:eastAsia="Garamond" w:hAnsi="Garamond"/>
          <w:i w:val="false"/>
          <w:iCs w:val="false"/>
          <w:color w:val="1A1710"/>
          <w:sz w:val="22"/>
          <w:szCs w:val="22"/>
        </w:rPr>
        <w:t xml:space="preserve">When one or more links in the MLC are under structural tension, contradiction debt (CD) accumulates. CD is measured by the number of active contradiction types — drawn from a 13-type typology, each indexed to specific chain links.</w:t>
      </w:r>
    </w:p>
    <w:p>
      <w:pPr>
        <w:spacing w:before="80" w:after="80" w:line="300"/>
        <w:jc w:val="both"/>
      </w:pPr>
      <w:r>
        <w:rPr>
          <w:rFonts w:ascii="Garamond" w:cs="Garamond" w:eastAsia="Garamond" w:hAnsi="Garamond"/>
          <w:i w:val="false"/>
          <w:iCs w:val="false"/>
          <w:color w:val="1A1710"/>
          <w:sz w:val="22"/>
          <w:szCs w:val="22"/>
        </w:rPr>
        <w:t xml:space="preserve">CD is an ontological measure, not a moral one. A legally coherent system may be morally monstrous; a structurally contradictory system may pursue just ends. SOoL evaluates structure, not content.</w:t>
      </w:r>
    </w:p>
    <w:p>
      <w:pPr>
        <w:spacing w:before="80" w:after="80" w:line="300"/>
        <w:jc w:val="both"/>
      </w:pPr>
      <w:r>
        <w:rPr>
          <w:rFonts w:ascii="Garamond" w:cs="Garamond" w:eastAsia="Garamond" w:hAnsi="Garamond"/>
          <w:i w:val="false"/>
          <w:iCs w:val="false"/>
          <w:color w:val="1A1710"/>
          <w:sz w:val="22"/>
          <w:szCs w:val="22"/>
        </w:rPr>
        <w:t xml:space="preserve">The most important contradiction types for legal analysis are:</w:t>
      </w:r>
    </w:p>
    <w:p>
      <w:pPr>
        <w:pStyle w:val="ListParagraph"/>
        <w:numPr>
          <w:ilvl w:val="0"/>
          <w:numId w:val="2"/>
        </w:numPr>
        <w:spacing w:before="40" w:after="40"/>
      </w:pPr>
      <w:r>
        <w:rPr>
          <w:rFonts w:ascii="Garamond" w:cs="Garamond" w:eastAsia="Garamond" w:hAnsi="Garamond"/>
          <w:color w:val="1A1710"/>
          <w:sz w:val="22"/>
          <w:szCs w:val="22"/>
        </w:rPr>
        <w:t xml:space="preserve">Conferral Failure (1→3): The authority never properly vested the actor in role. The most common flaw in constitutional challenges.</w:t>
      </w:r>
    </w:p>
    <w:p>
      <w:pPr>
        <w:pStyle w:val="ListParagraph"/>
        <w:numPr>
          <w:ilvl w:val="0"/>
          <w:numId w:val="2"/>
        </w:numPr>
        <w:spacing w:before="40" w:after="40"/>
      </w:pPr>
      <w:r>
        <w:rPr>
          <w:rFonts w:ascii="Garamond" w:cs="Garamond" w:eastAsia="Garamond" w:hAnsi="Garamond"/>
          <w:color w:val="1A1710"/>
          <w:sz w:val="22"/>
          <w:szCs w:val="22"/>
        </w:rPr>
        <w:t xml:space="preserve">Role Contradiction (Node 3): The role simultaneously authorizes and prohibits the same conduct. Classic in international humanitarian law.</w:t>
      </w:r>
    </w:p>
    <w:p>
      <w:pPr>
        <w:pStyle w:val="ListParagraph"/>
        <w:numPr>
          <w:ilvl w:val="0"/>
          <w:numId w:val="2"/>
        </w:numPr>
        <w:spacing w:before="40" w:after="40"/>
      </w:pPr>
      <w:r>
        <w:rPr>
          <w:rFonts w:ascii="Garamond" w:cs="Garamond" w:eastAsia="Garamond" w:hAnsi="Garamond"/>
          <w:color w:val="1A1710"/>
          <w:sz w:val="22"/>
          <w:szCs w:val="22"/>
        </w:rPr>
        <w:t xml:space="preserve">Temporal Contradiction (2↔4): Bidirectional misalignment between the norm and the facts it governs. A rescue duty that attaches immediately upon survivors entering the water retroactively affects the lawfulness of the act that created survivors.</w:t>
      </w:r>
    </w:p>
    <w:p>
      <w:pPr>
        <w:pStyle w:val="ListParagraph"/>
        <w:numPr>
          <w:ilvl w:val="0"/>
          <w:numId w:val="2"/>
        </w:numPr>
        <w:spacing w:before="40" w:after="40"/>
      </w:pPr>
      <w:r>
        <w:rPr>
          <w:rFonts w:ascii="Garamond" w:cs="Garamond" w:eastAsia="Garamond" w:hAnsi="Garamond"/>
          <w:color w:val="1A1710"/>
          <w:sz w:val="22"/>
          <w:szCs w:val="22"/>
        </w:rPr>
        <w:t xml:space="preserve">Correlativity Contradiction (Node 7): Rights claimed without their Hohfeldian correlative duties honored. The most structurally irreducible contradiction type — it cannot be resolved by appealing to the same regime that generates it.</w:t>
      </w:r>
    </w:p>
    <w:p>
      <w:pPr>
        <w:pStyle w:val="ListParagraph"/>
        <w:numPr>
          <w:ilvl w:val="0"/>
          <w:numId w:val="2"/>
        </w:numPr>
        <w:spacing w:before="40" w:after="40"/>
      </w:pPr>
      <w:r>
        <w:rPr>
          <w:rFonts w:ascii="Garamond" w:cs="Garamond" w:eastAsia="Garamond" w:hAnsi="Garamond"/>
          <w:color w:val="1A1710"/>
          <w:sz w:val="22"/>
          <w:szCs w:val="22"/>
        </w:rPr>
        <w:t xml:space="preserve">Repair Failure (Node 8): Remedy available in structure but blocked in practice. When CD accumulates without discharge, the system approaches ontological instability.</w:t>
      </w:r>
    </w:p>
    <w:p>
      <w:pPr>
        <w:pStyle w:val="Heading2"/>
        <w:spacing w:before="320" w:after="80"/>
      </w:pPr>
      <w:r>
        <w:rPr>
          <w:rFonts w:ascii="Georgia" w:cs="Georgia" w:eastAsia="Georgia" w:hAnsi="Georgia"/>
          <w:b/>
          <w:bCs/>
          <w:color w:val="0D0B08"/>
          <w:sz w:val="24"/>
          <w:szCs w:val="24"/>
        </w:rPr>
        <w:t xml:space="preserve">1.4 The IAT: When Does Accountability Attach?</w:t>
      </w:r>
    </w:p>
    <w:p>
      <w:pPr>
        <w:spacing w:before="80" w:after="80" w:line="300"/>
        <w:jc w:val="both"/>
      </w:pPr>
      <w:r>
        <w:rPr>
          <w:rFonts w:ascii="Garamond" w:cs="Garamond" w:eastAsia="Garamond" w:hAnsi="Garamond"/>
          <w:i w:val="false"/>
          <w:iCs w:val="false"/>
          <w:color w:val="1A1710"/>
          <w:sz w:val="22"/>
          <w:szCs w:val="22"/>
        </w:rPr>
        <w:t xml:space="preserve">The Irreversible Accountability Test (IAT) determines whether an entity bears genuine normative agency — and therefore full legal accountability. IAT(E) holds if and only if five conditions are satisfied:</w:t>
      </w:r>
    </w:p>
    <w:p>
      <w:pPr>
        <w:pStyle w:val="ListParagraph"/>
        <w:numPr>
          <w:ilvl w:val="0"/>
          <w:numId w:val="3"/>
        </w:numPr>
        <w:spacing w:before="40" w:after="40"/>
      </w:pPr>
      <w:r>
        <w:rPr>
          <w:rFonts w:ascii="Garamond" w:cs="Garamond" w:eastAsia="Garamond" w:hAnsi="Garamond"/>
          <w:color w:val="1A1710"/>
          <w:sz w:val="22"/>
          <w:szCs w:val="22"/>
        </w:rPr>
        <w:t xml:space="preserve">Standing: E has normatively structured standing in a relevant domain.</w:t>
      </w:r>
    </w:p>
    <w:p>
      <w:pPr>
        <w:pStyle w:val="ListParagraph"/>
        <w:numPr>
          <w:ilvl w:val="0"/>
          <w:numId w:val="3"/>
        </w:numPr>
        <w:spacing w:before="40" w:after="40"/>
      </w:pPr>
      <w:r>
        <w:rPr>
          <w:rFonts w:ascii="Garamond" w:cs="Garamond" w:eastAsia="Garamond" w:hAnsi="Garamond"/>
          <w:color w:val="1A1710"/>
          <w:sz w:val="22"/>
          <w:szCs w:val="22"/>
        </w:rPr>
        <w:t xml:space="preserve">Attributable Breach: A breach is directly attributable to E, not accidental or externally compelled.</w:t>
      </w:r>
    </w:p>
    <w:p>
      <w:pPr>
        <w:pStyle w:val="ListParagraph"/>
        <w:numPr>
          <w:ilvl w:val="0"/>
          <w:numId w:val="3"/>
        </w:numPr>
        <w:spacing w:before="40" w:after="40"/>
      </w:pPr>
      <w:r>
        <w:rPr>
          <w:rFonts w:ascii="Garamond" w:cs="Garamond" w:eastAsia="Garamond" w:hAnsi="Garamond"/>
          <w:color w:val="1A1710"/>
          <w:sz w:val="22"/>
          <w:szCs w:val="22"/>
        </w:rPr>
        <w:t xml:space="preserve">Non-Resettable Residue: An enduring, irreversible normative residue is borne by E.</w:t>
      </w:r>
    </w:p>
    <w:p>
      <w:pPr>
        <w:pStyle w:val="ListParagraph"/>
        <w:numPr>
          <w:ilvl w:val="0"/>
          <w:numId w:val="3"/>
        </w:numPr>
        <w:spacing w:before="40" w:after="40"/>
      </w:pPr>
      <w:r>
        <w:rPr>
          <w:rFonts w:ascii="Garamond" w:cs="Garamond" w:eastAsia="Garamond" w:hAnsi="Garamond"/>
          <w:color w:val="1A1710"/>
          <w:sz w:val="22"/>
          <w:szCs w:val="22"/>
        </w:rPr>
        <w:t xml:space="preserve">Repair Capacity: E is capable of addressing the residue — including through refusal. Refusal is itself an accountable act.</w:t>
      </w:r>
    </w:p>
    <w:p>
      <w:pPr>
        <w:pStyle w:val="ListParagraph"/>
        <w:numPr>
          <w:ilvl w:val="0"/>
          <w:numId w:val="3"/>
        </w:numPr>
        <w:spacing w:before="40" w:after="40"/>
      </w:pPr>
      <w:r>
        <w:rPr>
          <w:rFonts w:ascii="Garamond" w:cs="Garamond" w:eastAsia="Garamond" w:hAnsi="Garamond"/>
          <w:color w:val="1A1710"/>
          <w:sz w:val="22"/>
          <w:szCs w:val="22"/>
        </w:rPr>
        <w:t xml:space="preserve">Counterfactual Control: E could have acted otherwise. The outcome was within E's power to prevent.</w:t>
      </w:r>
    </w:p>
    <w:p>
      <w:pPr>
        <w:spacing w:before="60" w:after="0"/>
      </w:pPr>
      <w:r>
        <w:t xml:space="preserve"/>
      </w:r>
    </w:p>
    <w:p>
      <w:pPr>
        <w:spacing w:before="80" w:after="80" w:line="300"/>
        <w:jc w:val="both"/>
      </w:pPr>
      <w:r>
        <w:rPr>
          <w:rFonts w:ascii="Garamond" w:cs="Garamond" w:eastAsia="Garamond" w:hAnsi="Garamond"/>
          <w:i w:val="false"/>
          <w:iCs w:val="false"/>
          <w:color w:val="1A1710"/>
          <w:sz w:val="22"/>
          <w:szCs w:val="22"/>
        </w:rPr>
        <w:t xml:space="preserve">The IAT is particularly important for AI and organizational liability questions. An AI system that executes a contract typically fails IAT at conditions 1, 3, and 4 — it lacks standing, cannot bear non-resettable residue, and has no repair capacity in the relevant sense. This is why claims that AI systems can be "contracting parties" are structurally incoherent, not merely technically inconvenient.</w:t>
      </w:r>
    </w:p>
    <w:p>
      <w:pPr>
        <w:pStyle w:val="Heading2"/>
        <w:spacing w:before="320" w:after="80"/>
      </w:pPr>
      <w:r>
        <w:rPr>
          <w:rFonts w:ascii="Georgia" w:cs="Georgia" w:eastAsia="Georgia" w:hAnsi="Georgia"/>
          <w:b/>
          <w:bCs/>
          <w:color w:val="0D0B08"/>
          <w:sz w:val="24"/>
          <w:szCs w:val="24"/>
        </w:rPr>
        <w:t xml:space="preserve">1.5 The Coherence/Contradiction Distinction</w:t>
      </w:r>
    </w:p>
    <w:p>
      <w:pPr>
        <w:spacing w:before="80" w:after="80" w:line="300"/>
        <w:jc w:val="both"/>
      </w:pPr>
      <w:r>
        <w:rPr>
          <w:rFonts w:ascii="Garamond" w:cs="Garamond" w:eastAsia="Garamond" w:hAnsi="Garamond"/>
          <w:i w:val="false"/>
          <w:iCs w:val="false"/>
          <w:color w:val="1A1710"/>
          <w:sz w:val="22"/>
          <w:szCs w:val="22"/>
        </w:rPr>
        <w:t xml:space="preserve">The most important pedagogical move in SOoL is the strict separation of structural coherence from moral evaluation. This is demonstrated most powerfully by historical cases: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D0C8B8" w:sz="4"/>
              <w:left w:val="single" w:color="D0C8B8" w:sz="4"/>
              <w:bottom w:val="single" w:color="D0C8B8" w:sz="4"/>
              <w:right w:val="none"/>
            </w:tcBorders>
            <w:shd w:fill="242018" w:val="clear"/>
            <w:tcMar>
              <w:top w:type="dxa" w:w="80"/>
              <w:left w:type="dxa" w:w="120"/>
              <w:bottom w:type="dxa" w:w="80"/>
              <w:right w:type="dxa" w:w="120"/>
            </w:tcMar>
          </w:tcPr>
          <w:p>
            <w:pPr>
              <w:spacing w:before="40" w:after="40"/>
              <w:jc w:val="center"/>
            </w:pPr>
            <w:r>
              <w:rPr>
                <w:rFonts w:ascii="Courier New" w:cs="Courier New" w:eastAsia="Courier New" w:hAnsi="Courier New"/>
                <w:b/>
                <w:bCs/>
                <w:color w:val="D4A017"/>
                <w:sz w:val="16"/>
                <w:szCs w:val="16"/>
              </w:rPr>
              <w:t xml:space="preserve">NAZI GERMANY
1933–1945</w:t>
            </w:r>
          </w:p>
        </w:tc>
        <w:tc>
          <w:tcPr>
            <w:tcW w:type="dxa" w:w="7920"/>
            <w:tcBorders>
              <w:top w:val="single" w:color="D0C8B8" w:sz="4"/>
              <w:left w:val="none"/>
              <w:bottom w:val="single" w:color="D0C8B8" w:sz="4"/>
              <w:right w:val="single" w:color="D0C8B8" w:sz="4"/>
            </w:tcBorders>
            <w:shd w:fill="F4EFE4" w:val="clear"/>
            <w:tcMar>
              <w:top w:type="dxa" w:w="80"/>
              <w:left w:type="dxa" w:w="160"/>
              <w:bottom w:type="dxa" w:w="80"/>
              <w:right w:type="dxa" w:w="120"/>
            </w:tcMar>
          </w:tcPr>
          <w:p>
            <w:pPr>
              <w:spacing w:before="40" w:after="40"/>
            </w:pPr>
            <w:r>
              <w:rPr>
                <w:rFonts w:ascii="Garamond" w:cs="Garamond" w:eastAsia="Garamond" w:hAnsi="Garamond"/>
                <w:color w:val="0D0B08"/>
                <w:sz w:val="20"/>
                <w:szCs w:val="20"/>
              </w:rPr>
              <w:t xml:space="preserve">The Nuremberg racial laws (1935) closed at Nodes 1–5 with disturbing efficiency: authority (Enabling Act), norm (Nuremberg Laws), actors (courts, bureaucracy), facts (racial identity), acts (citizenship revocation). The chain collapsed at Nodes 6–8: recognition failure (personhood stripped while regulation continued), correlativity contradiction (enforcement without rights), and repair failure (no internal remedy). The system was structurally coherent for a time — then accumulated contradiction debt until external repair (Nuremberg Tribunal) was required.</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D0C8B8" w:sz="4"/>
              <w:left w:val="single" w:color="D0C8B8" w:sz="4"/>
              <w:bottom w:val="single" w:color="D0C8B8" w:sz="4"/>
              <w:right w:val="none"/>
            </w:tcBorders>
            <w:shd w:fill="242018" w:val="clear"/>
            <w:tcMar>
              <w:top w:type="dxa" w:w="80"/>
              <w:left w:type="dxa" w:w="120"/>
              <w:bottom w:type="dxa" w:w="80"/>
              <w:right w:type="dxa" w:w="120"/>
            </w:tcMar>
          </w:tcPr>
          <w:p>
            <w:pPr>
              <w:spacing w:before="40" w:after="40"/>
              <w:jc w:val="center"/>
            </w:pPr>
            <w:r>
              <w:rPr>
                <w:rFonts w:ascii="Courier New" w:cs="Courier New" w:eastAsia="Courier New" w:hAnsi="Courier New"/>
                <w:b/>
                <w:bCs/>
                <w:color w:val="D4A017"/>
                <w:sz w:val="16"/>
                <w:szCs w:val="16"/>
              </w:rPr>
              <w:t xml:space="preserve">SOVIET UNION
1936–1938</w:t>
            </w:r>
          </w:p>
        </w:tc>
        <w:tc>
          <w:tcPr>
            <w:tcW w:type="dxa" w:w="7920"/>
            <w:tcBorders>
              <w:top w:val="single" w:color="D0C8B8" w:sz="4"/>
              <w:left w:val="none"/>
              <w:bottom w:val="single" w:color="D0C8B8" w:sz="4"/>
              <w:right w:val="single" w:color="D0C8B8" w:sz="4"/>
            </w:tcBorders>
            <w:shd w:fill="F4EFE4" w:val="clear"/>
            <w:tcMar>
              <w:top w:type="dxa" w:w="80"/>
              <w:left w:type="dxa" w:w="160"/>
              <w:bottom w:type="dxa" w:w="80"/>
              <w:right w:type="dxa" w:w="120"/>
            </w:tcMar>
          </w:tcPr>
          <w:p>
            <w:pPr>
              <w:spacing w:before="40" w:after="40"/>
            </w:pPr>
            <w:r>
              <w:rPr>
                <w:rFonts w:ascii="Garamond" w:cs="Garamond" w:eastAsia="Garamond" w:hAnsi="Garamond"/>
                <w:color w:val="0D0B08"/>
                <w:sz w:val="20"/>
                <w:szCs w:val="20"/>
              </w:rPr>
              <w:t xml:space="preserve">The show trials demonstrate a different pattern: fact manipulation (Node 4) and norm indeterminacy (Node 2 — "enemy of the people") destroyed chain integrity from the middle. Role instability (judges became defendants) and recognition collapse compounded the failure. The regime survived longer than Nazi Germany because it preserved bureaucratic continuity — but accumulated contradiction debt produced systemic collapse in 1991.</w:t>
            </w:r>
          </w:p>
        </w:tc>
      </w:tr>
    </w:tbl>
    <w:p>
      <w:pPr>
        <w:spacing w:before="80" w:after="0"/>
      </w:pPr>
      <w:r>
        <w:t xml:space="preserve"/>
      </w:r>
    </w:p>
    <w:p>
      <w:pPr>
        <w:spacing w:before="80" w:after="80" w:line="300"/>
        <w:jc w:val="both"/>
      </w:pPr>
      <w:r>
        <w:rPr>
          <w:rFonts w:ascii="Garamond" w:cs="Garamond" w:eastAsia="Garamond" w:hAnsi="Garamond"/>
          <w:i w:val="false"/>
          <w:iCs w:val="false"/>
          <w:color w:val="1A1710"/>
          <w:sz w:val="22"/>
          <w:szCs w:val="22"/>
        </w:rPr>
        <w:t xml:space="preserve">The lesson is not that these systems were evil — that is obvious. The lesson is that SOoL can locate, type, and measure the structural defects independently of moral evaluation. This is what makes it a diagnostic tool rather than a moral sermon.</w:t>
      </w:r>
    </w:p>
    <w:p>
      <w:r>
        <w:br w:type="page"/>
      </w:r>
    </w:p>
    <w:p>
      <w:pPr>
        <w:pStyle w:val="Heading1"/>
        <w:pBdr>
          <w:bottom w:val="single" w:color="B8860B" w:sz="4" w:space="4"/>
        </w:pBdr>
        <w:spacing w:before="400" w:after="120"/>
      </w:pPr>
      <w:r>
        <w:rPr>
          <w:rFonts w:ascii="Georgia" w:cs="Georgia" w:eastAsia="Georgia" w:hAnsi="Georgia"/>
          <w:b/>
          <w:bCs/>
          <w:color w:val="B8860B"/>
          <w:sz w:val="32"/>
          <w:szCs w:val="32"/>
        </w:rPr>
        <w:t xml:space="preserve">Part II: Guided Exercises</w:t>
      </w:r>
    </w:p>
    <w:p>
      <w:pPr>
        <w:spacing w:before="80" w:after="80" w:line="300"/>
        <w:jc w:val="both"/>
      </w:pPr>
      <w:r>
        <w:rPr>
          <w:rFonts w:ascii="Garamond" w:cs="Garamond" w:eastAsia="Garamond" w:hAnsi="Garamond"/>
          <w:i w:val="false"/>
          <w:iCs w:val="false"/>
          <w:color w:val="1A1710"/>
          <w:sz w:val="22"/>
          <w:szCs w:val="22"/>
        </w:rPr>
        <w:t xml:space="preserve">These three exercises use the SOoL MLC Chain Auditor (SOoL-MLC-Auditor.html). Students should have the tool open in a browser. Each exercise builds on the previous one. Time estimates assume individual work; add 30–50% for group discussion.</w:t>
      </w:r>
    </w:p>
    <w:p>
      <w:pPr>
        <w:pStyle w:val="Heading2"/>
        <w:spacing w:before="320" w:after="80"/>
      </w:pPr>
      <w:r>
        <w:rPr>
          <w:rFonts w:ascii="Georgia" w:cs="Georgia" w:eastAsia="Georgia" w:hAnsi="Georgia"/>
          <w:b/>
          <w:bCs/>
          <w:color w:val="0D0B08"/>
          <w:sz w:val="24"/>
          <w:szCs w:val="24"/>
        </w:rPr>
        <w:t xml:space="preserve">Exercise 1: Reading a Closed Chain (20 minutes)</w:t>
      </w:r>
    </w:p>
    <w:p>
      <w:pPr>
        <w:spacing w:before="80" w:after="80" w:line="300"/>
        <w:jc w:val="both"/>
      </w:pPr>
      <w:r>
        <w:rPr>
          <w:rFonts w:ascii="Garamond" w:cs="Garamond" w:eastAsia="Garamond" w:hAnsi="Garamond"/>
          <w:i w:val="false"/>
          <w:iCs w:val="false"/>
          <w:color w:val="1A1710"/>
          <w:sz w:val="22"/>
          <w:szCs w:val="22"/>
        </w:rPr>
        <w:t xml:space="preserve">Purpose: Establish baseline. Understand what structural coherence looks like before examining failure modes.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C8B8" w:sz="2"/>
              <w:left w:val="thick" w:color="B8860B" w:sz="8"/>
              <w:bottom w:val="single" w:color="D0C8B8" w:sz="2"/>
              <w:right w:val="single" w:color="D0C8B8" w:sz="2"/>
            </w:tcBorders>
            <w:shd w:fill="F4EFE4" w:val="clear"/>
            <w:tcMar>
              <w:top w:type="dxa" w:w="120"/>
              <w:left w:type="dxa" w:w="200"/>
              <w:bottom w:type="dxa" w:w="120"/>
              <w:right w:type="dxa" w:w="200"/>
            </w:tcMar>
          </w:tcPr>
          <w:p>
            <w:pPr>
              <w:spacing w:before="60" w:after="80"/>
            </w:pPr>
            <w:r>
              <w:rPr>
                <w:rFonts w:ascii="Georgia" w:cs="Georgia" w:eastAsia="Georgia" w:hAnsi="Georgia"/>
                <w:b/>
                <w:bCs/>
                <w:color w:val="B8860B"/>
                <w:sz w:val="20"/>
                <w:szCs w:val="20"/>
              </w:rPr>
              <w:t xml:space="preserve">Instructions</w:t>
            </w:r>
          </w:p>
          <w:p>
            <w:pPr>
              <w:spacing w:before="40" w:after="40"/>
            </w:pPr>
            <w:r>
              <w:rPr>
                <w:rFonts w:ascii="Garamond" w:cs="Garamond" w:eastAsia="Garamond" w:hAnsi="Garamond"/>
                <w:color w:val="1A1710"/>
                <w:sz w:val="20"/>
                <w:szCs w:val="20"/>
              </w:rPr>
              <w:t xml:space="preserve">1. Open the auditor tool. Click "Load Example" and select "Valid Commercial Contract."</w:t>
            </w:r>
          </w:p>
          <w:p>
            <w:pPr>
              <w:spacing w:before="40" w:after="40"/>
            </w:pPr>
            <w:r>
              <w:rPr>
                <w:rFonts w:ascii="Garamond" w:cs="Garamond" w:eastAsia="Garamond" w:hAnsi="Garamond"/>
                <w:color w:val="1A1710"/>
                <w:sz w:val="20"/>
                <w:szCs w:val="20"/>
              </w:rPr>
              <w:t xml:space="preserve">2. Click through each of the 8 nodes. Read the pre-populated notes at each node.</w:t>
            </w:r>
          </w:p>
          <w:p>
            <w:pPr>
              <w:spacing w:before="40" w:after="40"/>
            </w:pPr>
            <w:r>
              <w:rPr>
                <w:rFonts w:ascii="Garamond" w:cs="Garamond" w:eastAsia="Garamond" w:hAnsi="Garamond"/>
                <w:color w:val="1A1710"/>
                <w:sz w:val="20"/>
                <w:szCs w:val="20"/>
              </w:rPr>
              <w:t xml:space="preserve">3. Click Generate Report. Review the chain table and structural verdict.</w:t>
            </w:r>
          </w:p>
          <w:p>
            <w:pPr>
              <w:spacing w:before="40" w:after="60"/>
            </w:pPr>
            <w:r>
              <w:rPr>
                <w:rFonts w:ascii="Garamond" w:cs="Garamond" w:eastAsia="Garamond" w:hAnsi="Garamond"/>
                <w:color w:val="1A1710"/>
                <w:sz w:val="20"/>
                <w:szCs w:val="20"/>
              </w:rPr>
              <w:t xml:space="preserve">4. Answer the questions below before proceeding.</w:t>
            </w:r>
          </w:p>
        </w:tc>
      </w:tr>
    </w:tbl>
    <w:p>
      <w:pPr>
        <w:spacing w:before="60" w:after="0"/>
      </w:pPr>
      <w:r>
        <w:t xml:space="preserve"/>
      </w:r>
    </w:p>
    <w:p>
      <w:pPr>
        <w:pStyle w:val="Heading3"/>
        <w:spacing w:before="240" w:after="60"/>
      </w:pPr>
      <w:r>
        <w:rPr>
          <w:rFonts w:ascii="Georgia" w:cs="Georgia" w:eastAsia="Georgia" w:hAnsi="Georgia"/>
          <w:b/>
          <w:bCs/>
          <w:color w:val="8B7D6B"/>
          <w:sz w:val="20"/>
          <w:szCs w:val="20"/>
        </w:rPr>
        <w:t xml:space="preserve">Questions for Exercise 1</w:t>
      </w:r>
    </w:p>
    <w:p>
      <w:pPr>
        <w:pStyle w:val="ListParagraph"/>
        <w:numPr>
          <w:ilvl w:val="0"/>
          <w:numId w:val="2"/>
        </w:numPr>
        <w:spacing w:before="40" w:after="40"/>
      </w:pPr>
      <w:r>
        <w:rPr>
          <w:rFonts w:ascii="Garamond" w:cs="Garamond" w:eastAsia="Garamond" w:hAnsi="Garamond"/>
          <w:color w:val="1A1710"/>
          <w:sz w:val="22"/>
          <w:szCs w:val="22"/>
        </w:rPr>
        <w:t xml:space="preserve">What does it mean for a legal chain to "close"? In what sense is a fully-closed chain "coherent"?</w:t>
      </w:r>
    </w:p>
    <w:p>
      <w:pPr>
        <w:pStyle w:val="ListParagraph"/>
        <w:numPr>
          <w:ilvl w:val="0"/>
          <w:numId w:val="2"/>
        </w:numPr>
        <w:spacing w:before="40" w:after="40"/>
      </w:pPr>
      <w:r>
        <w:rPr>
          <w:rFonts w:ascii="Garamond" w:cs="Garamond" w:eastAsia="Garamond" w:hAnsi="Garamond"/>
          <w:color w:val="1A1710"/>
          <w:sz w:val="22"/>
          <w:szCs w:val="22"/>
        </w:rPr>
        <w:t xml:space="preserve">The report says the system is structurally coherent. Does that mean the contract is fair? What is the relationship between structural coherence and justice in SOoL?</w:t>
      </w:r>
    </w:p>
    <w:p>
      <w:pPr>
        <w:pStyle w:val="ListParagraph"/>
        <w:numPr>
          <w:ilvl w:val="0"/>
          <w:numId w:val="2"/>
        </w:numPr>
        <w:spacing w:before="40" w:after="40"/>
      </w:pPr>
      <w:r>
        <w:rPr>
          <w:rFonts w:ascii="Garamond" w:cs="Garamond" w:eastAsia="Garamond" w:hAnsi="Garamond"/>
          <w:color w:val="1A1710"/>
          <w:sz w:val="22"/>
          <w:szCs w:val="22"/>
        </w:rPr>
        <w:t xml:space="preserve">If the buyer had signed under duress, which node would be most affected? Why?</w:t>
      </w:r>
    </w:p>
    <w:p>
      <w:pPr>
        <w:pStyle w:val="ListParagraph"/>
        <w:numPr>
          <w:ilvl w:val="0"/>
          <w:numId w:val="2"/>
        </w:numPr>
        <w:spacing w:before="40" w:after="40"/>
      </w:pPr>
      <w:r>
        <w:rPr>
          <w:rFonts w:ascii="Garamond" w:cs="Garamond" w:eastAsia="Garamond" w:hAnsi="Garamond"/>
          <w:color w:val="1A1710"/>
          <w:sz w:val="22"/>
          <w:szCs w:val="22"/>
        </w:rPr>
        <w:t xml:space="preserve">Compare this chain to how you would analyze the same case using standard IRAC. What does the MLC audit reveal that IRAC does not?</w:t>
      </w:r>
    </w:p>
    <w:p>
      <w:pPr>
        <w:spacing w:before="120" w:after="0"/>
      </w:pPr>
      <w:r>
        <w:t xml:space="preserve"/>
      </w:r>
    </w:p>
    <w:p>
      <w:pPr>
        <w:pStyle w:val="Heading2"/>
        <w:spacing w:before="320" w:after="80"/>
      </w:pPr>
      <w:r>
        <w:rPr>
          <w:rFonts w:ascii="Georgia" w:cs="Georgia" w:eastAsia="Georgia" w:hAnsi="Georgia"/>
          <w:b/>
          <w:bCs/>
          <w:color w:val="0D0B08"/>
          <w:sz w:val="24"/>
          <w:szCs w:val="24"/>
        </w:rPr>
        <w:t xml:space="preserve">Exercise 2: Locating Failure (30 minutes)</w:t>
      </w:r>
    </w:p>
    <w:p>
      <w:pPr>
        <w:spacing w:before="80" w:after="80" w:line="300"/>
        <w:jc w:val="both"/>
      </w:pPr>
      <w:r>
        <w:rPr>
          <w:rFonts w:ascii="Garamond" w:cs="Garamond" w:eastAsia="Garamond" w:hAnsi="Garamond"/>
          <w:i w:val="false"/>
          <w:iCs w:val="false"/>
          <w:color w:val="1A1710"/>
          <w:sz w:val="22"/>
          <w:szCs w:val="22"/>
        </w:rPr>
        <w:t xml:space="preserve">Purpose: Develop the ability to identify structural failures and contradiction types in a real doctrinal context.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C8B8" w:sz="2"/>
              <w:left w:val="thick" w:color="B8860B" w:sz="8"/>
              <w:bottom w:val="single" w:color="D0C8B8" w:sz="2"/>
              <w:right w:val="single" w:color="D0C8B8" w:sz="2"/>
            </w:tcBorders>
            <w:shd w:fill="F4EFE4" w:val="clear"/>
            <w:tcMar>
              <w:top w:type="dxa" w:w="120"/>
              <w:left w:type="dxa" w:w="200"/>
              <w:bottom w:type="dxa" w:w="120"/>
              <w:right w:type="dxa" w:w="200"/>
            </w:tcMar>
          </w:tcPr>
          <w:p>
            <w:pPr>
              <w:spacing w:before="60" w:after="80"/>
            </w:pPr>
            <w:r>
              <w:rPr>
                <w:rFonts w:ascii="Georgia" w:cs="Georgia" w:eastAsia="Georgia" w:hAnsi="Georgia"/>
                <w:b/>
                <w:bCs/>
                <w:color w:val="B8860B"/>
                <w:sz w:val="20"/>
                <w:szCs w:val="20"/>
              </w:rPr>
              <w:t xml:space="preserve">Instructions</w:t>
            </w:r>
          </w:p>
          <w:p>
            <w:pPr>
              <w:spacing w:before="40" w:after="40"/>
            </w:pPr>
            <w:r>
              <w:rPr>
                <w:rFonts w:ascii="Garamond" w:cs="Garamond" w:eastAsia="Garamond" w:hAnsi="Garamond"/>
                <w:color w:val="1A1710"/>
                <w:sz w:val="20"/>
                <w:szCs w:val="20"/>
              </w:rPr>
              <w:t xml:space="preserve">1. Load "Unlawful Search &amp; Seizure" from the examples dropdown.</w:t>
            </w:r>
          </w:p>
          <w:p>
            <w:pPr>
              <w:spacing w:before="40" w:after="40"/>
            </w:pPr>
            <w:r>
              <w:rPr>
                <w:rFonts w:ascii="Garamond" w:cs="Garamond" w:eastAsia="Garamond" w:hAnsi="Garamond"/>
                <w:color w:val="1A1710"/>
                <w:sz w:val="20"/>
                <w:szCs w:val="20"/>
              </w:rPr>
              <w:t xml:space="preserve">2. Before reading the pre-loaded notes, try to assess each node yourself: does it close, fail, or conditionally close? Record your own reasoning first.</w:t>
            </w:r>
          </w:p>
          <w:p>
            <w:pPr>
              <w:spacing w:before="40" w:after="40"/>
            </w:pPr>
            <w:r>
              <w:rPr>
                <w:rFonts w:ascii="Garamond" w:cs="Garamond" w:eastAsia="Garamond" w:hAnsi="Garamond"/>
                <w:color w:val="1A1710"/>
                <w:sz w:val="20"/>
                <w:szCs w:val="20"/>
              </w:rPr>
              <w:t xml:space="preserve">3. Then compare your assessment to the pre-loaded analysis. Where do you agree or disagree?</w:t>
            </w:r>
          </w:p>
          <w:p>
            <w:pPr>
              <w:spacing w:before="40" w:after="60"/>
            </w:pPr>
            <w:r>
              <w:rPr>
                <w:rFonts w:ascii="Garamond" w:cs="Garamond" w:eastAsia="Garamond" w:hAnsi="Garamond"/>
                <w:color w:val="1A1710"/>
                <w:sz w:val="20"/>
                <w:szCs w:val="20"/>
              </w:rPr>
              <w:t xml:space="preserve">4. Generate the report. Pay particular attention to the Contradiction Inventory and Structural Verdict.</w:t>
            </w:r>
          </w:p>
        </w:tc>
      </w:tr>
    </w:tbl>
    <w:p>
      <w:pPr>
        <w:spacing w:before="60" w:after="0"/>
      </w:pPr>
      <w:r>
        <w:t xml:space="preserve"/>
      </w:r>
    </w:p>
    <w:p>
      <w:pPr>
        <w:pStyle w:val="Heading3"/>
        <w:spacing w:before="240" w:after="60"/>
      </w:pPr>
      <w:r>
        <w:rPr>
          <w:rFonts w:ascii="Georgia" w:cs="Georgia" w:eastAsia="Georgia" w:hAnsi="Georgia"/>
          <w:b/>
          <w:bCs/>
          <w:color w:val="8B7D6B"/>
          <w:sz w:val="20"/>
          <w:szCs w:val="20"/>
        </w:rPr>
        <w:t xml:space="preserve">Questions for Exercise 2</w:t>
      </w:r>
    </w:p>
    <w:p>
      <w:pPr>
        <w:pStyle w:val="ListParagraph"/>
        <w:numPr>
          <w:ilvl w:val="0"/>
          <w:numId w:val="2"/>
        </w:numPr>
        <w:spacing w:before="40" w:after="40"/>
      </w:pPr>
      <w:r>
        <w:rPr>
          <w:rFonts w:ascii="Garamond" w:cs="Garamond" w:eastAsia="Garamond" w:hAnsi="Garamond"/>
          <w:color w:val="1A1710"/>
          <w:sz w:val="22"/>
          <w:szCs w:val="22"/>
        </w:rPr>
        <w:t xml:space="preserve">The chain fails at Node 1 (conferral failure) even though police officers clearly exist and are in a role. What is the difference between having a role and having the role's authority properly conferred for a specific act?</w:t>
      </w:r>
    </w:p>
    <w:p>
      <w:pPr>
        <w:pStyle w:val="ListParagraph"/>
        <w:numPr>
          <w:ilvl w:val="0"/>
          <w:numId w:val="2"/>
        </w:numPr>
        <w:spacing w:before="40" w:after="40"/>
      </w:pPr>
      <w:r>
        <w:rPr>
          <w:rFonts w:ascii="Garamond" w:cs="Garamond" w:eastAsia="Garamond" w:hAnsi="Garamond"/>
          <w:color w:val="1A1710"/>
          <w:sz w:val="22"/>
          <w:szCs w:val="22"/>
        </w:rPr>
        <w:t xml:space="preserve">A correlativity contradiction fires at Node 7. In your own words: what right is being claimed and what correlative duty is being refused? Why is this contradiction "structurally irreducible" — why can't it be resolved by appealing to the same legal regime?</w:t>
      </w:r>
    </w:p>
    <w:p>
      <w:pPr>
        <w:pStyle w:val="ListParagraph"/>
        <w:numPr>
          <w:ilvl w:val="0"/>
          <w:numId w:val="2"/>
        </w:numPr>
        <w:spacing w:before="40" w:after="40"/>
      </w:pPr>
      <w:r>
        <w:rPr>
          <w:rFonts w:ascii="Garamond" w:cs="Garamond" w:eastAsia="Garamond" w:hAnsi="Garamond"/>
          <w:color w:val="1A1710"/>
          <w:sz w:val="22"/>
          <w:szCs w:val="22"/>
        </w:rPr>
        <w:t xml:space="preserve">The exclusionary rule operates as a repair mechanism at Node 8. Does the availability of this remedy discharge the contradiction debt identified at earlier nodes? What does it mean for a legal system to have a working self-repair mechanism?</w:t>
      </w:r>
    </w:p>
    <w:p>
      <w:pPr>
        <w:pStyle w:val="ListParagraph"/>
        <w:numPr>
          <w:ilvl w:val="0"/>
          <w:numId w:val="2"/>
        </w:numPr>
        <w:spacing w:before="40" w:after="40"/>
      </w:pPr>
      <w:r>
        <w:rPr>
          <w:rFonts w:ascii="Garamond" w:cs="Garamond" w:eastAsia="Garamond" w:hAnsi="Garamond"/>
          <w:color w:val="1A1710"/>
          <w:sz w:val="22"/>
          <w:szCs w:val="22"/>
        </w:rPr>
        <w:t xml:space="preserve">How would a legal realist analyze this case? What would they see that SOoL's structural analysis misses, and vice versa?</w:t>
      </w:r>
    </w:p>
    <w:p>
      <w:pPr>
        <w:spacing w:before="120" w:after="0"/>
      </w:pPr>
      <w:r>
        <w:t xml:space="preserve"/>
      </w:r>
    </w:p>
    <w:p>
      <w:pPr>
        <w:pStyle w:val="Heading2"/>
        <w:spacing w:before="320" w:after="80"/>
      </w:pPr>
      <w:r>
        <w:rPr>
          <w:rFonts w:ascii="Georgia" w:cs="Georgia" w:eastAsia="Georgia" w:hAnsi="Georgia"/>
          <w:b/>
          <w:bCs/>
          <w:color w:val="0D0B08"/>
          <w:sz w:val="24"/>
          <w:szCs w:val="24"/>
        </w:rPr>
        <w:t xml:space="preserve">Exercise 3: High-CD Analysis and the Coherence/Contradiction Distinction (40 minutes)</w:t>
      </w:r>
    </w:p>
    <w:p>
      <w:pPr>
        <w:spacing w:before="80" w:after="80" w:line="300"/>
        <w:jc w:val="both"/>
      </w:pPr>
      <w:r>
        <w:rPr>
          <w:rFonts w:ascii="Garamond" w:cs="Garamond" w:eastAsia="Garamond" w:hAnsi="Garamond"/>
          <w:i w:val="false"/>
          <w:iCs w:val="false"/>
          <w:color w:val="1A1710"/>
          <w:sz w:val="22"/>
          <w:szCs w:val="22"/>
        </w:rPr>
        <w:t xml:space="preserve">Purpose: Apply the framework to a high-stakes historical case. Distinguish structural coherence from moral evaluation. This exercise is the pedagogical core of the module.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C8B8" w:sz="2"/>
              <w:left w:val="thick" w:color="B8860B" w:sz="8"/>
              <w:bottom w:val="single" w:color="D0C8B8" w:sz="2"/>
              <w:right w:val="single" w:color="D0C8B8" w:sz="2"/>
            </w:tcBorders>
            <w:shd w:fill="F4EFE4" w:val="clear"/>
            <w:tcMar>
              <w:top w:type="dxa" w:w="120"/>
              <w:left w:type="dxa" w:w="200"/>
              <w:bottom w:type="dxa" w:w="120"/>
              <w:right w:type="dxa" w:w="200"/>
            </w:tcMar>
          </w:tcPr>
          <w:p>
            <w:pPr>
              <w:spacing w:before="60" w:after="80"/>
            </w:pPr>
            <w:r>
              <w:rPr>
                <w:rFonts w:ascii="Georgia" w:cs="Georgia" w:eastAsia="Georgia" w:hAnsi="Georgia"/>
                <w:b/>
                <w:bCs/>
                <w:color w:val="B8860B"/>
                <w:sz w:val="20"/>
                <w:szCs w:val="20"/>
              </w:rPr>
              <w:t xml:space="preserve">Instructions</w:t>
            </w:r>
          </w:p>
          <w:p>
            <w:pPr>
              <w:spacing w:before="40" w:after="40"/>
            </w:pPr>
            <w:r>
              <w:rPr>
                <w:rFonts w:ascii="Garamond" w:cs="Garamond" w:eastAsia="Garamond" w:hAnsi="Garamond"/>
                <w:color w:val="1A1710"/>
                <w:sz w:val="20"/>
                <w:szCs w:val="20"/>
              </w:rPr>
              <w:t xml:space="preserve">1. Load "Nazi Racial Laws — Nuremberg" from the examples dropdown.</w:t>
            </w:r>
          </w:p>
          <w:p>
            <w:pPr>
              <w:spacing w:before="40" w:after="40"/>
            </w:pPr>
            <w:r>
              <w:rPr>
                <w:rFonts w:ascii="Garamond" w:cs="Garamond" w:eastAsia="Garamond" w:hAnsi="Garamond"/>
                <w:color w:val="1A1710"/>
                <w:sz w:val="20"/>
                <w:szCs w:val="20"/>
              </w:rPr>
              <w:t xml:space="preserve">2. Walk through the chain carefully. Notice which nodes close and which fail.</w:t>
            </w:r>
          </w:p>
          <w:p>
            <w:pPr>
              <w:spacing w:before="40" w:after="40"/>
            </w:pPr>
            <w:r>
              <w:rPr>
                <w:rFonts w:ascii="Garamond" w:cs="Garamond" w:eastAsia="Garamond" w:hAnsi="Garamond"/>
                <w:color w:val="1A1710"/>
                <w:sz w:val="20"/>
                <w:szCs w:val="20"/>
              </w:rPr>
              <w:t xml:space="preserve">3. Then load "Soviet Show Trial" and do the same. Note where the two cases differ in their failure pattern.</w:t>
            </w:r>
          </w:p>
          <w:p>
            <w:pPr>
              <w:spacing w:before="40" w:after="40"/>
            </w:pPr>
            <w:r>
              <w:rPr>
                <w:rFonts w:ascii="Garamond" w:cs="Garamond" w:eastAsia="Garamond" w:hAnsi="Garamond"/>
                <w:color w:val="1A1710"/>
                <w:sz w:val="20"/>
                <w:szCs w:val="20"/>
              </w:rPr>
              <w:t xml:space="preserve">4. Generate a report for each. Compare the Contradiction Inventories side by side.</w:t>
            </w:r>
          </w:p>
          <w:p>
            <w:pPr>
              <w:spacing w:before="40" w:after="60"/>
            </w:pPr>
            <w:r>
              <w:rPr>
                <w:rFonts w:ascii="Garamond" w:cs="Garamond" w:eastAsia="Garamond" w:hAnsi="Garamond"/>
                <w:color w:val="1A1710"/>
                <w:sz w:val="20"/>
                <w:szCs w:val="20"/>
              </w:rPr>
              <w:t xml:space="preserve">5. Answer the questions below — these are discussion questions for the full group.</w:t>
            </w:r>
          </w:p>
        </w:tc>
      </w:tr>
    </w:tbl>
    <w:p>
      <w:pPr>
        <w:spacing w:before="60" w:after="0"/>
      </w:pPr>
      <w:r>
        <w:t xml:space="preserve"/>
      </w:r>
    </w:p>
    <w:p>
      <w:pPr>
        <w:pStyle w:val="Heading3"/>
        <w:spacing w:before="240" w:after="60"/>
      </w:pPr>
      <w:r>
        <w:rPr>
          <w:rFonts w:ascii="Georgia" w:cs="Georgia" w:eastAsia="Georgia" w:hAnsi="Georgia"/>
          <w:b/>
          <w:bCs/>
          <w:color w:val="8B7D6B"/>
          <w:sz w:val="20"/>
          <w:szCs w:val="20"/>
        </w:rPr>
        <w:t xml:space="preserve">Questions for Exercise 3 (Full Group Discussion)</w:t>
      </w:r>
    </w:p>
    <w:p>
      <w:pPr>
        <w:pStyle w:val="ListParagraph"/>
        <w:numPr>
          <w:ilvl w:val="0"/>
          <w:numId w:val="2"/>
        </w:numPr>
        <w:spacing w:before="40" w:after="40"/>
      </w:pPr>
      <w:r>
        <w:rPr>
          <w:rFonts w:ascii="Garamond" w:cs="Garamond" w:eastAsia="Garamond" w:hAnsi="Garamond"/>
          <w:color w:val="1A1710"/>
          <w:sz w:val="22"/>
          <w:szCs w:val="22"/>
        </w:rPr>
        <w:t xml:space="preserve">The Nazi Racial Laws close at Nodes 1–5. What does this mean? Does it mean those laws were "valid law"? How would Hart answer? How would Fuller answer? How does SOoL's answer differ from both?</w:t>
      </w:r>
    </w:p>
    <w:p>
      <w:pPr>
        <w:pStyle w:val="ListParagraph"/>
        <w:numPr>
          <w:ilvl w:val="0"/>
          <w:numId w:val="2"/>
        </w:numPr>
        <w:spacing w:before="40" w:after="40"/>
      </w:pPr>
      <w:r>
        <w:rPr>
          <w:rFonts w:ascii="Garamond" w:cs="Garamond" w:eastAsia="Garamond" w:hAnsi="Garamond"/>
          <w:color w:val="1A1710"/>
          <w:sz w:val="22"/>
          <w:szCs w:val="22"/>
        </w:rPr>
        <w:t xml:space="preserve">The report says the Nazi system was "structurally coherent" before Nodes 6–8 collapsed. Is this a disturbing conclusion? Should it be? What does it tell us about the limits of structural analysis as a normative tool?</w:t>
      </w:r>
    </w:p>
    <w:p>
      <w:pPr>
        <w:pStyle w:val="ListParagraph"/>
        <w:numPr>
          <w:ilvl w:val="0"/>
          <w:numId w:val="2"/>
        </w:numPr>
        <w:spacing w:before="40" w:after="40"/>
      </w:pPr>
      <w:r>
        <w:rPr>
          <w:rFonts w:ascii="Garamond" w:cs="Garamond" w:eastAsia="Garamond" w:hAnsi="Garamond"/>
          <w:color w:val="1A1710"/>
          <w:sz w:val="22"/>
          <w:szCs w:val="22"/>
        </w:rPr>
        <w:t xml:space="preserve">The Soviet case shows failure at Nodes 2, 3, and 4, while the Nazi case fails primarily at 6–8. Both end in catastrophe. What does the different failure pattern tell us about the different character of each legal system's dysfunction?</w:t>
      </w:r>
    </w:p>
    <w:p>
      <w:pPr>
        <w:pStyle w:val="ListParagraph"/>
        <w:numPr>
          <w:ilvl w:val="0"/>
          <w:numId w:val="2"/>
        </w:numPr>
        <w:spacing w:before="40" w:after="40"/>
      </w:pPr>
      <w:r>
        <w:rPr>
          <w:rFonts w:ascii="Garamond" w:cs="Garamond" w:eastAsia="Garamond" w:hAnsi="Garamond"/>
          <w:color w:val="1A1710"/>
          <w:sz w:val="22"/>
          <w:szCs w:val="22"/>
        </w:rPr>
        <w:t xml:space="preserve">The Nuremberg Tribunal is described as "external repair." What makes it external? What does it mean for a legal system to require external repair? Can you think of contemporary examples?</w:t>
      </w:r>
    </w:p>
    <w:p>
      <w:pPr>
        <w:pStyle w:val="ListParagraph"/>
        <w:numPr>
          <w:ilvl w:val="0"/>
          <w:numId w:val="2"/>
        </w:numPr>
        <w:spacing w:before="40" w:after="40"/>
      </w:pPr>
      <w:r>
        <w:rPr>
          <w:rFonts w:ascii="Garamond" w:cs="Garamond" w:eastAsia="Garamond" w:hAnsi="Garamond"/>
          <w:color w:val="1A1710"/>
          <w:sz w:val="22"/>
          <w:szCs w:val="22"/>
        </w:rPr>
        <w:t xml:space="preserve">SOoL claims to be a diagnostic tool, not a moral prescription. Is this distinction defensible? Or does identifying structural collapse inevitably carry normative weight?</w:t>
      </w:r>
    </w:p>
    <w:p>
      <w:r>
        <w:br w:type="page"/>
      </w:r>
    </w:p>
    <w:p>
      <w:pPr>
        <w:pStyle w:val="Heading1"/>
        <w:pBdr>
          <w:bottom w:val="single" w:color="B8860B" w:sz="4" w:space="4"/>
        </w:pBdr>
        <w:spacing w:before="400" w:after="120"/>
      </w:pPr>
      <w:r>
        <w:rPr>
          <w:rFonts w:ascii="Georgia" w:cs="Georgia" w:eastAsia="Georgia" w:hAnsi="Georgia"/>
          <w:b/>
          <w:bCs/>
          <w:color w:val="B8860B"/>
          <w:sz w:val="32"/>
          <w:szCs w:val="32"/>
        </w:rPr>
        <w:t xml:space="preserve">Part III: Discussion Questions</w:t>
      </w:r>
    </w:p>
    <w:p>
      <w:pPr>
        <w:spacing w:before="80" w:after="80" w:line="300"/>
        <w:jc w:val="both"/>
      </w:pPr>
      <w:r>
        <w:rPr>
          <w:rFonts w:ascii="Garamond" w:cs="Garamond" w:eastAsia="Garamond" w:hAnsi="Garamond"/>
          <w:i w:val="false"/>
          <w:iCs w:val="false"/>
          <w:color w:val="1A1710"/>
          <w:sz w:val="22"/>
          <w:szCs w:val="22"/>
        </w:rPr>
        <w:t xml:space="preserve">The following questions are organized by difficulty level. Level 1 questions are suitable for any audience with the overview reading. Level 2 questions require completion of the exercises. Level 3 questions are suitable for advanced seminar discussion or written assignments.</w:t>
      </w:r>
    </w:p>
    <w:p>
      <w:pPr>
        <w:pStyle w:val="Heading2"/>
        <w:spacing w:before="320" w:after="80"/>
      </w:pPr>
      <w:r>
        <w:rPr>
          <w:rFonts w:ascii="Georgia" w:cs="Georgia" w:eastAsia="Georgia" w:hAnsi="Georgia"/>
          <w:b/>
          <w:bCs/>
          <w:color w:val="0D0B08"/>
          <w:sz w:val="24"/>
          <w:szCs w:val="24"/>
        </w:rPr>
        <w:t xml:space="preserve">Level 1: Comprehension and Application</w:t>
      </w:r>
    </w:p>
    <w:p>
      <w:pPr>
        <w:pStyle w:val="ListParagraph"/>
        <w:numPr>
          <w:ilvl w:val="0"/>
          <w:numId w:val="3"/>
        </w:numPr>
        <w:spacing w:before="40" w:after="40"/>
      </w:pPr>
      <w:r>
        <w:rPr>
          <w:rFonts w:ascii="Garamond" w:cs="Garamond" w:eastAsia="Garamond" w:hAnsi="Garamond"/>
          <w:color w:val="1A1710"/>
          <w:sz w:val="22"/>
          <w:szCs w:val="22"/>
        </w:rPr>
        <w:t xml:space="preserve">Explain the Minimum Legal Chain in your own words. What happens structurally when Node 3 fails? When Node 7 fails?</w:t>
      </w:r>
    </w:p>
    <w:p>
      <w:pPr>
        <w:pStyle w:val="ListParagraph"/>
        <w:numPr>
          <w:ilvl w:val="0"/>
          <w:numId w:val="3"/>
        </w:numPr>
        <w:spacing w:before="40" w:after="40"/>
      </w:pPr>
      <w:r>
        <w:rPr>
          <w:rFonts w:ascii="Garamond" w:cs="Garamond" w:eastAsia="Garamond" w:hAnsi="Garamond"/>
          <w:color w:val="1A1710"/>
          <w:sz w:val="22"/>
          <w:szCs w:val="22"/>
        </w:rPr>
        <w:t xml:space="preserve">What is contradiction debt? How does it differ from a simple rule violation?</w:t>
      </w:r>
    </w:p>
    <w:p>
      <w:pPr>
        <w:pStyle w:val="ListParagraph"/>
        <w:numPr>
          <w:ilvl w:val="0"/>
          <w:numId w:val="3"/>
        </w:numPr>
        <w:spacing w:before="40" w:after="40"/>
      </w:pPr>
      <w:r>
        <w:rPr>
          <w:rFonts w:ascii="Garamond" w:cs="Garamond" w:eastAsia="Garamond" w:hAnsi="Garamond"/>
          <w:color w:val="1A1710"/>
          <w:sz w:val="22"/>
          <w:szCs w:val="22"/>
        </w:rPr>
        <w:t xml:space="preserve">Give an example from current events or recent legal history where you suspect a correlativity contradiction is active. Identify the right being claimed and the correlative duty being refused.</w:t>
      </w:r>
    </w:p>
    <w:p>
      <w:pPr>
        <w:pStyle w:val="ListParagraph"/>
        <w:numPr>
          <w:ilvl w:val="0"/>
          <w:numId w:val="3"/>
        </w:numPr>
        <w:spacing w:before="40" w:after="40"/>
      </w:pPr>
      <w:r>
        <w:rPr>
          <w:rFonts w:ascii="Garamond" w:cs="Garamond" w:eastAsia="Garamond" w:hAnsi="Garamond"/>
          <w:color w:val="1A1710"/>
          <w:sz w:val="22"/>
          <w:szCs w:val="22"/>
        </w:rPr>
        <w:t xml:space="preserve">The quick-reference card lists five standard jurisprudential approaches (Natural Law, Positivism, Realism, Interpretivism, CLS). For a case you know well, explain what each approach would say — and then what SOoL adds.</w:t>
      </w:r>
    </w:p>
    <w:p>
      <w:pPr>
        <w:pStyle w:val="ListParagraph"/>
        <w:numPr>
          <w:ilvl w:val="0"/>
          <w:numId w:val="3"/>
        </w:numPr>
        <w:spacing w:before="40" w:after="40"/>
      </w:pPr>
      <w:r>
        <w:rPr>
          <w:rFonts w:ascii="Garamond" w:cs="Garamond" w:eastAsia="Garamond" w:hAnsi="Garamond"/>
          <w:color w:val="1A1710"/>
          <w:sz w:val="22"/>
          <w:szCs w:val="22"/>
        </w:rPr>
        <w:t xml:space="preserve">What is the IAT? Apply it to a corporate entity in a recent corporate fraud case. Does the IAT hold? At which conditions does it succeed or fail?</w:t>
      </w:r>
    </w:p>
    <w:p>
      <w:pPr>
        <w:pStyle w:val="Heading2"/>
        <w:spacing w:before="320" w:after="80"/>
      </w:pPr>
      <w:r>
        <w:rPr>
          <w:rFonts w:ascii="Georgia" w:cs="Georgia" w:eastAsia="Georgia" w:hAnsi="Georgia"/>
          <w:b/>
          <w:bCs/>
          <w:color w:val="0D0B08"/>
          <w:sz w:val="24"/>
          <w:szCs w:val="24"/>
        </w:rPr>
        <w:t xml:space="preserve">Level 2: Analysis and Critique</w:t>
      </w:r>
    </w:p>
    <w:p>
      <w:pPr>
        <w:pStyle w:val="ListParagraph"/>
        <w:numPr>
          <w:ilvl w:val="0"/>
          <w:numId w:val="3"/>
        </w:numPr>
        <w:spacing w:before="40" w:after="40"/>
      </w:pPr>
      <w:r>
        <w:rPr>
          <w:rFonts w:ascii="Garamond" w:cs="Garamond" w:eastAsia="Garamond" w:hAnsi="Garamond"/>
          <w:color w:val="1A1710"/>
          <w:sz w:val="22"/>
          <w:szCs w:val="22"/>
        </w:rPr>
        <w:t xml:space="preserve">SOoL claims to separate structural coherence from moral evaluation. Is this separation philosophically coherent? Can a legal structure be "ontologically stable" while simultaneously violating basic human dignity? Does identifying structural collapse necessarily carry moral weight?</w:t>
      </w:r>
    </w:p>
    <w:p>
      <w:pPr>
        <w:pStyle w:val="ListParagraph"/>
        <w:numPr>
          <w:ilvl w:val="0"/>
          <w:numId w:val="3"/>
        </w:numPr>
        <w:spacing w:before="40" w:after="40"/>
      </w:pPr>
      <w:r>
        <w:rPr>
          <w:rFonts w:ascii="Garamond" w:cs="Garamond" w:eastAsia="Garamond" w:hAnsi="Garamond"/>
          <w:color w:val="1A1710"/>
          <w:sz w:val="22"/>
          <w:szCs w:val="22"/>
        </w:rPr>
        <w:t xml:space="preserve">The correlativity contradiction is described as "structurally irreducible" — it cannot be resolved by appealing to the same regime that generates it. Is this true? Can you construct a case where a correlativity contradiction is resolved from within a legal system without external intervention?</w:t>
      </w:r>
    </w:p>
    <w:p>
      <w:pPr>
        <w:pStyle w:val="ListParagraph"/>
        <w:numPr>
          <w:ilvl w:val="0"/>
          <w:numId w:val="3"/>
        </w:numPr>
        <w:spacing w:before="40" w:after="40"/>
      </w:pPr>
      <w:r>
        <w:rPr>
          <w:rFonts w:ascii="Garamond" w:cs="Garamond" w:eastAsia="Garamond" w:hAnsi="Garamond"/>
          <w:color w:val="1A1710"/>
          <w:sz w:val="22"/>
          <w:szCs w:val="22"/>
        </w:rPr>
        <w:t xml:space="preserve">Compare SOoL's account of authority (Node 1) to Hart's Rule of Recognition. What does SOoL add that the Rule of Recognition does not capture? What, if anything, does the Rule of Recognition capture that SOoL misses?</w:t>
      </w:r>
    </w:p>
    <w:p>
      <w:pPr>
        <w:pStyle w:val="ListParagraph"/>
        <w:numPr>
          <w:ilvl w:val="0"/>
          <w:numId w:val="3"/>
        </w:numPr>
        <w:spacing w:before="40" w:after="40"/>
      </w:pPr>
      <w:r>
        <w:rPr>
          <w:rFonts w:ascii="Garamond" w:cs="Garamond" w:eastAsia="Garamond" w:hAnsi="Garamond"/>
          <w:color w:val="1A1710"/>
          <w:sz w:val="22"/>
          <w:szCs w:val="22"/>
        </w:rPr>
        <w:t xml:space="preserve">The AI Contract case in the auditor demonstrates IAT failure at Node 3. Construct a counterargument: is there a plausible account of AI agency under which an AI system could satisfy the IAT? What would such an account require?</w:t>
      </w:r>
    </w:p>
    <w:p>
      <w:pPr>
        <w:pStyle w:val="ListParagraph"/>
        <w:numPr>
          <w:ilvl w:val="0"/>
          <w:numId w:val="3"/>
        </w:numPr>
        <w:spacing w:before="40" w:after="40"/>
      </w:pPr>
      <w:r>
        <w:rPr>
          <w:rFonts w:ascii="Garamond" w:cs="Garamond" w:eastAsia="Garamond" w:hAnsi="Garamond"/>
          <w:color w:val="1A1710"/>
          <w:sz w:val="22"/>
          <w:szCs w:val="22"/>
        </w:rPr>
        <w:t xml:space="preserve">Apply SOoL to a contemporary constitutional controversy of your choice (e.g., emergency powers, executive orders, administrative agency rulemaking). Identify which nodes are under stress and which contradiction types are active. What does the structural analysis reveal that standard constitutional doctrine does not?</w:t>
      </w:r>
    </w:p>
    <w:p>
      <w:pPr>
        <w:pStyle w:val="Heading2"/>
        <w:spacing w:before="320" w:after="80"/>
      </w:pPr>
      <w:r>
        <w:rPr>
          <w:rFonts w:ascii="Georgia" w:cs="Georgia" w:eastAsia="Georgia" w:hAnsi="Georgia"/>
          <w:b/>
          <w:bCs/>
          <w:color w:val="0D0B08"/>
          <w:sz w:val="24"/>
          <w:szCs w:val="24"/>
        </w:rPr>
        <w:t xml:space="preserve">Level 3: Advanced Seminar Questions</w:t>
      </w:r>
    </w:p>
    <w:p>
      <w:pPr>
        <w:pStyle w:val="ListParagraph"/>
        <w:numPr>
          <w:ilvl w:val="0"/>
          <w:numId w:val="3"/>
        </w:numPr>
        <w:spacing w:before="40" w:after="40"/>
      </w:pPr>
      <w:r>
        <w:rPr>
          <w:rFonts w:ascii="Garamond" w:cs="Garamond" w:eastAsia="Garamond" w:hAnsi="Garamond"/>
          <w:color w:val="1A1710"/>
          <w:sz w:val="22"/>
          <w:szCs w:val="22"/>
        </w:rPr>
        <w:t xml:space="preserve">SOoL locates legal entities as BFO specifically dependent continuants — they are real, persist through time, and depend on other entities for existence. Critically evaluate this ontological commitment. What does it gain over treating legal entities as social constructs (Searle) or normative posits (Kelsen)? What does it risk?</w:t>
      </w:r>
    </w:p>
    <w:p>
      <w:pPr>
        <w:pStyle w:val="ListParagraph"/>
        <w:numPr>
          <w:ilvl w:val="0"/>
          <w:numId w:val="3"/>
        </w:numPr>
        <w:spacing w:before="40" w:after="40"/>
      </w:pPr>
      <w:r>
        <w:rPr>
          <w:rFonts w:ascii="Garamond" w:cs="Garamond" w:eastAsia="Garamond" w:hAnsi="Garamond"/>
          <w:color w:val="1A1710"/>
          <w:sz w:val="22"/>
          <w:szCs w:val="22"/>
        </w:rPr>
        <w:t xml:space="preserve">The coherence/contradiction distinction tracks a parallel in philosophy of science: a theory can be internally consistent and empirically predictive while being fundamentally false. Is there an analogous problem for SOoL — can a legally coherent structure be ontologically defective in ways the MLC audit cannot detect?</w:t>
      </w:r>
    </w:p>
    <w:p>
      <w:pPr>
        <w:pStyle w:val="ListParagraph"/>
        <w:numPr>
          <w:ilvl w:val="0"/>
          <w:numId w:val="3"/>
        </w:numPr>
        <w:spacing w:before="40" w:after="40"/>
      </w:pPr>
      <w:r>
        <w:rPr>
          <w:rFonts w:ascii="Garamond" w:cs="Garamond" w:eastAsia="Garamond" w:hAnsi="Garamond"/>
          <w:color w:val="1A1710"/>
          <w:sz w:val="22"/>
          <w:szCs w:val="22"/>
        </w:rPr>
        <w:t xml:space="preserve">Contradiction debt is described as an "ontological measure" separable from moral evaluation. But accumulating CD leads to structural collapse, which is generally harmful to persons. Does this mean SOoL's structural analysis implicitly encodes a preference for stability over justice? Engage with the Nazi Germany case in your answer.</w:t>
      </w:r>
    </w:p>
    <w:p>
      <w:pPr>
        <w:pStyle w:val="ListParagraph"/>
        <w:numPr>
          <w:ilvl w:val="0"/>
          <w:numId w:val="3"/>
        </w:numPr>
        <w:spacing w:before="40" w:after="40"/>
      </w:pPr>
      <w:r>
        <w:rPr>
          <w:rFonts w:ascii="Garamond" w:cs="Garamond" w:eastAsia="Garamond" w:hAnsi="Garamond"/>
          <w:color w:val="1A1710"/>
          <w:sz w:val="22"/>
          <w:szCs w:val="22"/>
        </w:rPr>
        <w:t xml:space="preserve">The IAT requires "enduring, non-resettable residue" as a condition of normative agency. In an age of digital record deletion, AI systems with no persistent memory, and corporations that can be dissolved and reconstituted, what is the ontological status of "non-resettability"? How should SOoL handle entities designed to avoid producing durable residue?</w:t>
      </w:r>
    </w:p>
    <w:p>
      <w:pPr>
        <w:pStyle w:val="ListParagraph"/>
        <w:numPr>
          <w:ilvl w:val="0"/>
          <w:numId w:val="3"/>
        </w:numPr>
        <w:spacing w:before="40" w:after="40"/>
      </w:pPr>
      <w:r>
        <w:rPr>
          <w:rFonts w:ascii="Garamond" w:cs="Garamond" w:eastAsia="Garamond" w:hAnsi="Garamond"/>
          <w:color w:val="1A1710"/>
          <w:sz w:val="22"/>
          <w:szCs w:val="22"/>
        </w:rPr>
        <w:t xml:space="preserve">Develop a SOoL analysis of a legal system you know well (domestic or international). Identify the three most significant active contradiction types, assign a CD level, assess whether internal repair mechanisms are adequate, and argue for or against the claim that the system is approaching structural instability.</w:t>
      </w:r>
    </w:p>
    <w:p>
      <w:r>
        <w:br w:type="page"/>
      </w:r>
    </w:p>
    <w:p>
      <w:pPr>
        <w:pStyle w:val="Heading1"/>
        <w:pBdr>
          <w:bottom w:val="single" w:color="B8860B" w:sz="4" w:space="4"/>
        </w:pBdr>
        <w:spacing w:before="400" w:after="120"/>
      </w:pPr>
      <w:r>
        <w:rPr>
          <w:rFonts w:ascii="Georgia" w:cs="Georgia" w:eastAsia="Georgia" w:hAnsi="Georgia"/>
          <w:b/>
          <w:bCs/>
          <w:color w:val="B8860B"/>
          <w:sz w:val="32"/>
          <w:szCs w:val="32"/>
        </w:rPr>
        <w:t xml:space="preserve">Part IV: Assignment Brief</w:t>
      </w:r>
    </w:p>
    <w:p>
      <w:pPr>
        <w:pStyle w:val="Heading2"/>
        <w:spacing w:before="320" w:after="80"/>
      </w:pPr>
      <w:r>
        <w:rPr>
          <w:rFonts w:ascii="Georgia" w:cs="Georgia" w:eastAsia="Georgia" w:hAnsi="Georgia"/>
          <w:b/>
          <w:bCs/>
          <w:color w:val="0D0B08"/>
          <w:sz w:val="24"/>
          <w:szCs w:val="24"/>
        </w:rPr>
        <w:t xml:space="preserve">SOoL Structural Audit Assignment</w:t>
      </w:r>
    </w:p>
    <w:p>
      <w:pPr>
        <w:spacing w:before="80" w:after="80" w:line="300"/>
        <w:jc w:val="both"/>
      </w:pPr>
      <w:r>
        <w:rPr>
          <w:rFonts w:ascii="Garamond" w:cs="Garamond" w:eastAsia="Garamond" w:hAnsi="Garamond"/>
          <w:i w:val="false"/>
          <w:iCs w:val="false"/>
          <w:color w:val="1A1710"/>
          <w:sz w:val="22"/>
          <w:szCs w:val="22"/>
        </w:rPr>
        <w:t xml:space="preserve">This assignment asks you to conduct a full structural audit of a legal scenario of your choice using the SOoL framework and MLC Chain Auditor tool. The assignment is designed to be submitted as a written report of approximately 1,500–2,500 words, accompanied by an exported auditor report.</w:t>
      </w:r>
    </w:p>
    <w:p>
      <w:pPr>
        <w:pStyle w:val="Heading2"/>
        <w:spacing w:before="320" w:after="80"/>
      </w:pPr>
      <w:r>
        <w:rPr>
          <w:rFonts w:ascii="Georgia" w:cs="Georgia" w:eastAsia="Georgia" w:hAnsi="Georgia"/>
          <w:b/>
          <w:bCs/>
          <w:color w:val="0D0B08"/>
          <w:sz w:val="24"/>
          <w:szCs w:val="24"/>
        </w:rPr>
        <w:t xml:space="preserve">Task</w:t>
      </w:r>
    </w:p>
    <w:p>
      <w:pPr>
        <w:spacing w:before="80" w:after="80" w:line="300"/>
        <w:jc w:val="both"/>
      </w:pPr>
      <w:r>
        <w:rPr>
          <w:rFonts w:ascii="Garamond" w:cs="Garamond" w:eastAsia="Garamond" w:hAnsi="Garamond"/>
          <w:i w:val="false"/>
          <w:iCs w:val="false"/>
          <w:color w:val="1A1710"/>
          <w:sz w:val="22"/>
          <w:szCs w:val="22"/>
        </w:rPr>
        <w:t xml:space="preserve">Select a legal scenario — a historical case, a current legal controversy, a legislative act, or a hypothetical — and conduct a complete SOoL audit. Your written report should integrate the tool output with your own analytical commentary.</w:t>
      </w:r>
    </w:p>
    <w:p>
      <w:pPr>
        <w:pStyle w:val="Heading2"/>
        <w:spacing w:before="320" w:after="80"/>
      </w:pPr>
      <w:r>
        <w:rPr>
          <w:rFonts w:ascii="Georgia" w:cs="Georgia" w:eastAsia="Georgia" w:hAnsi="Georgia"/>
          <w:b/>
          <w:bCs/>
          <w:color w:val="0D0B08"/>
          <w:sz w:val="24"/>
          <w:szCs w:val="24"/>
        </w:rPr>
        <w:t xml:space="preserve">Requirements</w:t>
      </w:r>
    </w:p>
    <w:p>
      <w:pPr>
        <w:pStyle w:val="ListParagraph"/>
        <w:numPr>
          <w:ilvl w:val="0"/>
          <w:numId w:val="3"/>
        </w:numPr>
        <w:spacing w:before="40" w:after="40"/>
      </w:pPr>
      <w:r>
        <w:rPr>
          <w:rFonts w:ascii="Garamond" w:cs="Garamond" w:eastAsia="Garamond" w:hAnsi="Garamond"/>
          <w:color w:val="1A1710"/>
          <w:sz w:val="22"/>
          <w:szCs w:val="22"/>
        </w:rPr>
        <w:t xml:space="preserve">Case Description (150–250 words): Describe the operative facts and identify the applicable legal regime(s). Be precise — the auditor's output depends on how well you specify what legal system and what norms apply.</w:t>
      </w:r>
    </w:p>
    <w:p>
      <w:pPr>
        <w:pStyle w:val="ListParagraph"/>
        <w:numPr>
          <w:ilvl w:val="0"/>
          <w:numId w:val="3"/>
        </w:numPr>
        <w:spacing w:before="40" w:after="40"/>
      </w:pPr>
      <w:r>
        <w:rPr>
          <w:rFonts w:ascii="Garamond" w:cs="Garamond" w:eastAsia="Garamond" w:hAnsi="Garamond"/>
          <w:color w:val="1A1710"/>
          <w:sz w:val="22"/>
          <w:szCs w:val="22"/>
        </w:rPr>
        <w:t xml:space="preserve">MLC Chain Analysis (600–900 words): Walk through each of the 8 nodes. For each node, state your closure assessment (closes / fails / conditionally closes) and explain your reasoning. If a contradiction type fires, name it, locate it to the chain link, and explain why it applies.</w:t>
      </w:r>
    </w:p>
    <w:p>
      <w:pPr>
        <w:pStyle w:val="ListParagraph"/>
        <w:numPr>
          <w:ilvl w:val="0"/>
          <w:numId w:val="3"/>
        </w:numPr>
        <w:spacing w:before="40" w:after="40"/>
      </w:pPr>
      <w:r>
        <w:rPr>
          <w:rFonts w:ascii="Garamond" w:cs="Garamond" w:eastAsia="Garamond" w:hAnsi="Garamond"/>
          <w:color w:val="1A1710"/>
          <w:sz w:val="22"/>
          <w:szCs w:val="22"/>
        </w:rPr>
        <w:t xml:space="preserve">Contradiction Debt Assessment (200–300 words): Identify all active contradiction types. Calculate the CD count and assign a stability level (stable / stressed / unstable / critical / collapse-imminent). Explain whether the contradiction types interact or compound.</w:t>
      </w:r>
    </w:p>
    <w:p>
      <w:pPr>
        <w:pStyle w:val="ListParagraph"/>
        <w:numPr>
          <w:ilvl w:val="0"/>
          <w:numId w:val="3"/>
        </w:numPr>
        <w:spacing w:before="40" w:after="40"/>
      </w:pPr>
      <w:r>
        <w:rPr>
          <w:rFonts w:ascii="Garamond" w:cs="Garamond" w:eastAsia="Garamond" w:hAnsi="Garamond"/>
          <w:color w:val="1A1710"/>
          <w:sz w:val="22"/>
          <w:szCs w:val="22"/>
        </w:rPr>
        <w:t xml:space="preserve">IAT Analysis (200–300 words): Identify the primary actors. Apply the IAT to at least one. Does IAT hold? At which conditions does it succeed or fail? What are the implications for accountability?</w:t>
      </w:r>
    </w:p>
    <w:p>
      <w:pPr>
        <w:pStyle w:val="ListParagraph"/>
        <w:numPr>
          <w:ilvl w:val="0"/>
          <w:numId w:val="3"/>
        </w:numPr>
        <w:spacing w:before="40" w:after="40"/>
      </w:pPr>
      <w:r>
        <w:rPr>
          <w:rFonts w:ascii="Garamond" w:cs="Garamond" w:eastAsia="Garamond" w:hAnsi="Garamond"/>
          <w:color w:val="1A1710"/>
          <w:sz w:val="22"/>
          <w:szCs w:val="22"/>
        </w:rPr>
        <w:t xml:space="preserve">Structural Verdict (200–300 words): Synthesize your analysis into a structured verdict. Is the legal structure coherent? Is it contradictory? What is the relationship between your structural finding and any moral evaluation you would make of the scenario?</w:t>
      </w:r>
    </w:p>
    <w:p>
      <w:pPr>
        <w:pStyle w:val="ListParagraph"/>
        <w:numPr>
          <w:ilvl w:val="0"/>
          <w:numId w:val="3"/>
        </w:numPr>
        <w:spacing w:before="40" w:after="40"/>
      </w:pPr>
      <w:r>
        <w:rPr>
          <w:rFonts w:ascii="Garamond" w:cs="Garamond" w:eastAsia="Garamond" w:hAnsi="Garamond"/>
          <w:color w:val="1A1710"/>
          <w:sz w:val="22"/>
          <w:szCs w:val="22"/>
        </w:rPr>
        <w:t xml:space="preserve">Auditor Report (Appendix): Export the report from the tool and attach it as an appendix. The tool output should be consistent with your written analysis.</w:t>
      </w:r>
    </w:p>
    <w:p>
      <w:pPr>
        <w:pStyle w:val="Heading2"/>
        <w:spacing w:before="320" w:after="80"/>
      </w:pPr>
      <w:r>
        <w:rPr>
          <w:rFonts w:ascii="Georgia" w:cs="Georgia" w:eastAsia="Georgia" w:hAnsi="Georgia"/>
          <w:b/>
          <w:bCs/>
          <w:color w:val="0D0B08"/>
          <w:sz w:val="24"/>
          <w:szCs w:val="24"/>
        </w:rPr>
        <w:t xml:space="preserve">Evaluation Rubric</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2160"/>
      </w:tblGrid>
      <w:tr>
        <w:tc>
          <w:tcPr>
            <w:tcW w:type="dxa" w:w="3600"/>
            <w:tcBorders>
              <w:top w:val="single" w:color="D0C8B8" w:sz="2"/>
              <w:left w:val="single" w:color="D0C8B8" w:sz="2"/>
              <w:bottom w:val="single" w:color="D0C8B8" w:sz="2"/>
              <w:right w:val="single" w:color="D0C8B8" w:sz="2"/>
            </w:tcBorders>
            <w:shd w:fill="1A1510" w:val="clear"/>
            <w:tcMar>
              <w:top w:type="dxa" w:w="80"/>
              <w:left w:type="dxa" w:w="120"/>
              <w:bottom w:type="dxa" w:w="80"/>
              <w:right w:type="dxa" w:w="80"/>
            </w:tcMar>
          </w:tcPr>
          <w:p>
            <w:pPr>
              <w:spacing w:before="40" w:after="40"/>
            </w:pPr>
            <w:r>
              <w:rPr>
                <w:rFonts w:ascii="Georgia" w:cs="Georgia" w:eastAsia="Georgia" w:hAnsi="Georgia"/>
                <w:b/>
                <w:bCs/>
                <w:color w:val="D4A017"/>
                <w:sz w:val="20"/>
                <w:szCs w:val="20"/>
              </w:rPr>
              <w:t xml:space="preserve">Criterion</w:t>
            </w:r>
          </w:p>
        </w:tc>
        <w:tc>
          <w:tcPr>
            <w:tcW w:type="dxa" w:w="3600"/>
            <w:tcBorders>
              <w:top w:val="single" w:color="D0C8B8" w:sz="2"/>
              <w:left w:val="single" w:color="D0C8B8" w:sz="2"/>
              <w:bottom w:val="single" w:color="D0C8B8" w:sz="2"/>
              <w:right w:val="single" w:color="D0C8B8" w:sz="2"/>
            </w:tcBorders>
            <w:shd w:fill="1A1510" w:val="clear"/>
            <w:tcMar>
              <w:top w:type="dxa" w:w="80"/>
              <w:left w:type="dxa" w:w="120"/>
              <w:bottom w:type="dxa" w:w="80"/>
              <w:right w:type="dxa" w:w="80"/>
            </w:tcMar>
          </w:tcPr>
          <w:p>
            <w:pPr>
              <w:spacing w:before="40" w:after="40"/>
            </w:pPr>
            <w:r>
              <w:rPr>
                <w:rFonts w:ascii="Georgia" w:cs="Georgia" w:eastAsia="Georgia" w:hAnsi="Georgia"/>
                <w:b/>
                <w:bCs/>
                <w:color w:val="D4A017"/>
                <w:sz w:val="20"/>
                <w:szCs w:val="20"/>
              </w:rPr>
              <w:t xml:space="preserve">Description</w:t>
            </w:r>
          </w:p>
        </w:tc>
        <w:tc>
          <w:tcPr>
            <w:tcW w:type="dxa" w:w="2160"/>
            <w:tcBorders>
              <w:top w:val="single" w:color="D0C8B8" w:sz="2"/>
              <w:left w:val="single" w:color="D0C8B8" w:sz="2"/>
              <w:bottom w:val="single" w:color="D0C8B8" w:sz="2"/>
              <w:right w:val="single" w:color="D0C8B8" w:sz="2"/>
            </w:tcBorders>
            <w:shd w:fill="1A1510" w:val="clear"/>
            <w:tcMar>
              <w:top w:type="dxa" w:w="80"/>
              <w:left w:type="dxa" w:w="120"/>
              <w:bottom w:type="dxa" w:w="80"/>
              <w:right w:type="dxa" w:w="80"/>
            </w:tcMar>
          </w:tcPr>
          <w:p>
            <w:pPr>
              <w:spacing w:before="40" w:after="40"/>
            </w:pPr>
            <w:r>
              <w:rPr>
                <w:rFonts w:ascii="Georgia" w:cs="Georgia" w:eastAsia="Georgia" w:hAnsi="Georgia"/>
                <w:b/>
                <w:bCs/>
                <w:color w:val="D4A017"/>
                <w:sz w:val="20"/>
                <w:szCs w:val="20"/>
              </w:rPr>
              <w:t xml:space="preserve">Weight</w:t>
            </w:r>
          </w:p>
        </w:tc>
      </w:tr>
      <w:tr>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b/>
                <w:bCs/>
                <w:color w:val="1A1710"/>
                <w:sz w:val="20"/>
                <w:szCs w:val="20"/>
              </w:rPr>
              <w:t xml:space="preserve">Accuracy of Chain Analysis</w:t>
            </w:r>
          </w:p>
        </w:tc>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color w:val="1A1710"/>
                <w:sz w:val="20"/>
                <w:szCs w:val="20"/>
              </w:rPr>
              <w:t xml:space="preserve">Correct identification of closure status at each node; appropriate reasoning for each assessment</w:t>
            </w:r>
          </w:p>
        </w:tc>
        <w:tc>
          <w:tcPr>
            <w:tcW w:type="dxa" w:w="216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jc w:val="center"/>
            </w:pPr>
            <w:r>
              <w:rPr>
                <w:rFonts w:ascii="Courier New" w:cs="Courier New" w:eastAsia="Courier New" w:hAnsi="Courier New"/>
                <w:b/>
                <w:bCs/>
                <w:color w:val="B8860B"/>
                <w:sz w:val="20"/>
                <w:szCs w:val="20"/>
              </w:rPr>
              <w:t xml:space="preserve">30%</w:t>
            </w:r>
          </w:p>
        </w:tc>
      </w:tr>
      <w:tr>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b/>
                <w:bCs/>
                <w:color w:val="1A1710"/>
                <w:sz w:val="20"/>
                <w:szCs w:val="20"/>
              </w:rPr>
              <w:t xml:space="preserve">Contradiction Typology</w:t>
            </w:r>
          </w:p>
        </w:tc>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color w:val="1A1710"/>
                <w:sz w:val="20"/>
                <w:szCs w:val="20"/>
              </w:rPr>
              <w:t xml:space="preserve">Correct identification and placement of active contradiction types; CD count and stability level</w:t>
            </w:r>
          </w:p>
        </w:tc>
        <w:tc>
          <w:tcPr>
            <w:tcW w:type="dxa" w:w="216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jc w:val="center"/>
            </w:pPr>
            <w:r>
              <w:rPr>
                <w:rFonts w:ascii="Courier New" w:cs="Courier New" w:eastAsia="Courier New" w:hAnsi="Courier New"/>
                <w:b/>
                <w:bCs/>
                <w:color w:val="B8860B"/>
                <w:sz w:val="20"/>
                <w:szCs w:val="20"/>
              </w:rPr>
              <w:t xml:space="preserve">25%</w:t>
            </w:r>
          </w:p>
        </w:tc>
      </w:tr>
      <w:tr>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b/>
                <w:bCs/>
                <w:color w:val="1A1710"/>
                <w:sz w:val="20"/>
                <w:szCs w:val="20"/>
              </w:rPr>
              <w:t xml:space="preserve">IAT Application</w:t>
            </w:r>
          </w:p>
        </w:tc>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color w:val="1A1710"/>
                <w:sz w:val="20"/>
                <w:szCs w:val="20"/>
              </w:rPr>
              <w:t xml:space="preserve">Correct application of all five IAT conditions to at least one actor; reasoning is precise</w:t>
            </w:r>
          </w:p>
        </w:tc>
        <w:tc>
          <w:tcPr>
            <w:tcW w:type="dxa" w:w="216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jc w:val="center"/>
            </w:pPr>
            <w:r>
              <w:rPr>
                <w:rFonts w:ascii="Courier New" w:cs="Courier New" w:eastAsia="Courier New" w:hAnsi="Courier New"/>
                <w:b/>
                <w:bCs/>
                <w:color w:val="B8860B"/>
                <w:sz w:val="20"/>
                <w:szCs w:val="20"/>
              </w:rPr>
              <w:t xml:space="preserve">15%</w:t>
            </w:r>
          </w:p>
        </w:tc>
      </w:tr>
      <w:tr>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b/>
                <w:bCs/>
                <w:color w:val="1A1710"/>
                <w:sz w:val="20"/>
                <w:szCs w:val="20"/>
              </w:rPr>
              <w:t xml:space="preserve">Coherence/Contradiction Distinction</w:t>
            </w:r>
          </w:p>
        </w:tc>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color w:val="1A1710"/>
                <w:sz w:val="20"/>
                <w:szCs w:val="20"/>
              </w:rPr>
              <w:t xml:space="preserve">Clear separation of structural analysis from moral evaluation; awareness of what SOoL can and cannot establish</w:t>
            </w:r>
          </w:p>
        </w:tc>
        <w:tc>
          <w:tcPr>
            <w:tcW w:type="dxa" w:w="216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jc w:val="center"/>
            </w:pPr>
            <w:r>
              <w:rPr>
                <w:rFonts w:ascii="Courier New" w:cs="Courier New" w:eastAsia="Courier New" w:hAnsi="Courier New"/>
                <w:b/>
                <w:bCs/>
                <w:color w:val="B8860B"/>
                <w:sz w:val="20"/>
                <w:szCs w:val="20"/>
              </w:rPr>
              <w:t xml:space="preserve">15%</w:t>
            </w:r>
          </w:p>
        </w:tc>
      </w:tr>
      <w:tr>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b/>
                <w:bCs/>
                <w:color w:val="1A1710"/>
                <w:sz w:val="20"/>
                <w:szCs w:val="20"/>
              </w:rPr>
              <w:t xml:space="preserve">Clarity and Precision</w:t>
            </w:r>
          </w:p>
        </w:tc>
        <w:tc>
          <w:tcPr>
            <w:tcW w:type="dxa" w:w="360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pPr>
            <w:r>
              <w:rPr>
                <w:rFonts w:ascii="Garamond" w:cs="Garamond" w:eastAsia="Garamond" w:hAnsi="Garamond"/>
                <w:color w:val="1A1710"/>
                <w:sz w:val="20"/>
                <w:szCs w:val="20"/>
              </w:rPr>
              <w:t xml:space="preserve">Written analysis is clear, precise, and well-structured; auditor output is consistent with written argument</w:t>
            </w:r>
          </w:p>
        </w:tc>
        <w:tc>
          <w:tcPr>
            <w:tcW w:type="dxa" w:w="2160"/>
            <w:tcBorders>
              <w:top w:val="single" w:color="D0C8B8" w:sz="2"/>
              <w:left w:val="single" w:color="D0C8B8" w:sz="2"/>
              <w:bottom w:val="single" w:color="D0C8B8" w:sz="2"/>
              <w:right w:val="single" w:color="D0C8B8" w:sz="2"/>
            </w:tcBorders>
            <w:tcMar>
              <w:top w:type="dxa" w:w="80"/>
              <w:left w:type="dxa" w:w="120"/>
              <w:bottom w:type="dxa" w:w="80"/>
              <w:right w:type="dxa" w:w="80"/>
            </w:tcMar>
          </w:tcPr>
          <w:p>
            <w:pPr>
              <w:spacing w:before="40" w:after="40"/>
              <w:jc w:val="center"/>
            </w:pPr>
            <w:r>
              <w:rPr>
                <w:rFonts w:ascii="Courier New" w:cs="Courier New" w:eastAsia="Courier New" w:hAnsi="Courier New"/>
                <w:b/>
                <w:bCs/>
                <w:color w:val="B8860B"/>
                <w:sz w:val="20"/>
                <w:szCs w:val="20"/>
              </w:rPr>
              <w:t xml:space="preserve">15%</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C8B8" w:sz="2"/>
              <w:left w:val="thick" w:color="B8860B" w:sz="8"/>
              <w:bottom w:val="single" w:color="D0C8B8" w:sz="2"/>
              <w:right w:val="single" w:color="D0C8B8" w:sz="2"/>
            </w:tcBorders>
            <w:shd w:fill="F4EFE4" w:val="clear"/>
            <w:tcMar>
              <w:top w:type="dxa" w:w="120"/>
              <w:left w:type="dxa" w:w="200"/>
              <w:bottom w:type="dxa" w:w="120"/>
              <w:right w:type="dxa" w:w="200"/>
            </w:tcMar>
          </w:tcPr>
          <w:p>
            <w:pPr>
              <w:spacing w:before="60" w:after="80"/>
            </w:pPr>
            <w:r>
              <w:rPr>
                <w:rFonts w:ascii="Georgia" w:cs="Georgia" w:eastAsia="Georgia" w:hAnsi="Georgia"/>
                <w:b/>
                <w:bCs/>
                <w:color w:val="B8860B"/>
                <w:sz w:val="20"/>
                <w:szCs w:val="20"/>
              </w:rPr>
              <w:t xml:space="preserve">A note on grading</w:t>
            </w:r>
          </w:p>
          <w:p>
            <w:pPr>
              <w:spacing w:before="40" w:after="60"/>
              <w:jc w:val="both"/>
            </w:pPr>
            <w:r>
              <w:rPr>
                <w:rFonts w:ascii="Garamond" w:cs="Garamond" w:eastAsia="Garamond" w:hAnsi="Garamond"/>
                <w:i/>
                <w:iCs/>
                <w:color w:val="2A1A0A"/>
                <w:sz w:val="20"/>
                <w:szCs w:val="20"/>
              </w:rPr>
              <w:t xml:space="preserve">There is no single correct SOoL analysis of any given case — the framework is an analytical tool, not an algorithm. Strong submissions will demonstrate careful reasoning at each node, precise use of the contradiction typology, and a clear awareness of the distinction between structural and moral evaluation. Weaker submissions will conflate structural failure with moral wrongness, or will fail to engage with specific chain links in their analysis of contradiction types.</w:t>
            </w:r>
          </w:p>
        </w:tc>
      </w:tr>
    </w:tbl>
    <w:p>
      <w:r>
        <w:br w:type="page"/>
      </w:r>
    </w:p>
    <w:p>
      <w:pPr>
        <w:pStyle w:val="Heading1"/>
        <w:pBdr>
          <w:bottom w:val="single" w:color="B8860B" w:sz="4" w:space="4"/>
        </w:pBdr>
        <w:spacing w:before="400" w:after="120"/>
      </w:pPr>
      <w:r>
        <w:rPr>
          <w:rFonts w:ascii="Georgia" w:cs="Georgia" w:eastAsia="Georgia" w:hAnsi="Georgia"/>
          <w:b/>
          <w:bCs/>
          <w:color w:val="B8860B"/>
          <w:sz w:val="32"/>
          <w:szCs w:val="32"/>
        </w:rPr>
        <w:t xml:space="preserve">Part V: Quick Reference</w:t>
      </w:r>
    </w:p>
    <w:p>
      <w:pPr>
        <w:pStyle w:val="Heading2"/>
        <w:spacing w:before="320" w:after="80"/>
      </w:pPr>
      <w:r>
        <w:rPr>
          <w:rFonts w:ascii="Georgia" w:cs="Georgia" w:eastAsia="Georgia" w:hAnsi="Georgia"/>
          <w:b/>
          <w:bCs/>
          <w:color w:val="0D0B08"/>
          <w:sz w:val="24"/>
          <w:szCs w:val="24"/>
        </w:rPr>
        <w:t xml:space="preserve">The 13 Contradiction Types</w:t>
      </w:r>
    </w:p>
    <w:p>
      <w:pPr>
        <w:spacing w:before="80" w:after="80" w:line="300"/>
        <w:jc w:val="both"/>
      </w:pPr>
      <w:r>
        <w:rPr>
          <w:rFonts w:ascii="Garamond" w:cs="Garamond" w:eastAsia="Garamond" w:hAnsi="Garamond"/>
          <w:i w:val="false"/>
          <w:iCs w:val="false"/>
          <w:color w:val="1A1710"/>
          <w:sz w:val="22"/>
          <w:szCs w:val="22"/>
        </w:rPr>
        <w:t xml:space="preserve">Each type is indexed to one or more MLC chain links. Multiple types can fire simultaneously. The combination of active types — not just the count — determines the character of the structural instability.</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1440"/>
        <w:gridCol w:w="5400"/>
      </w:tblGrid>
      <w:tr>
        <w:tc>
          <w:tcPr>
            <w:tcW w:type="dxa" w:w="2520"/>
            <w:tcBorders>
              <w:top w:val="single" w:color="D0C8B8" w:sz="2"/>
              <w:left w:val="single" w:color="D0C8B8" w:sz="2"/>
              <w:bottom w:val="single" w:color="D0C8B8" w:sz="2"/>
              <w:right w:val="single" w:color="D0C8B8" w:sz="2"/>
            </w:tcBorders>
            <w:shd w:fill="1A1510" w:val="clear"/>
            <w:tcMar>
              <w:top w:type="dxa" w:w="60"/>
              <w:left w:type="dxa" w:w="100"/>
              <w:bottom w:type="dxa" w:w="60"/>
              <w:right w:type="dxa" w:w="80"/>
            </w:tcMar>
          </w:tcPr>
          <w:p>
            <w:pPr>
              <w:spacing w:before="30" w:after="30"/>
            </w:pPr>
            <w:r>
              <w:rPr>
                <w:rFonts w:ascii="Georgia" w:cs="Georgia" w:eastAsia="Georgia" w:hAnsi="Georgia"/>
                <w:b/>
                <w:bCs/>
                <w:color w:val="D4A017"/>
                <w:sz w:val="18"/>
                <w:szCs w:val="18"/>
              </w:rPr>
              <w:t xml:space="preserve">Type</w:t>
            </w:r>
          </w:p>
        </w:tc>
        <w:tc>
          <w:tcPr>
            <w:tcW w:type="dxa" w:w="1440"/>
            <w:tcBorders>
              <w:top w:val="single" w:color="D0C8B8" w:sz="2"/>
              <w:left w:val="single" w:color="D0C8B8" w:sz="2"/>
              <w:bottom w:val="single" w:color="D0C8B8" w:sz="2"/>
              <w:right w:val="single" w:color="D0C8B8" w:sz="2"/>
            </w:tcBorders>
            <w:shd w:fill="1A1510" w:val="clear"/>
            <w:tcMar>
              <w:top w:type="dxa" w:w="60"/>
              <w:left w:type="dxa" w:w="100"/>
              <w:bottom w:type="dxa" w:w="60"/>
              <w:right w:type="dxa" w:w="80"/>
            </w:tcMar>
          </w:tcPr>
          <w:p>
            <w:pPr>
              <w:spacing w:before="30" w:after="30"/>
            </w:pPr>
            <w:r>
              <w:rPr>
                <w:rFonts w:ascii="Courier New" w:cs="Courier New" w:eastAsia="Courier New" w:hAnsi="Courier New"/>
                <w:b/>
                <w:bCs/>
                <w:color w:val="E8A020"/>
                <w:sz w:val="16"/>
                <w:szCs w:val="16"/>
              </w:rPr>
              <w:t xml:space="preserve">Links</w:t>
            </w:r>
          </w:p>
        </w:tc>
        <w:tc>
          <w:tcPr>
            <w:tcW w:type="dxa" w:w="5400"/>
            <w:tcBorders>
              <w:top w:val="single" w:color="D0C8B8" w:sz="2"/>
              <w:left w:val="single" w:color="D0C8B8" w:sz="2"/>
              <w:bottom w:val="single" w:color="D0C8B8" w:sz="2"/>
              <w:right w:val="single" w:color="D0C8B8" w:sz="2"/>
            </w:tcBorders>
            <w:shd w:fill="1A1510" w:val="clear"/>
            <w:tcMar>
              <w:top w:type="dxa" w:w="60"/>
              <w:left w:type="dxa" w:w="120"/>
              <w:bottom w:type="dxa" w:w="60"/>
              <w:right w:type="dxa" w:w="80"/>
            </w:tcMar>
          </w:tcPr>
          <w:p>
            <w:pPr>
              <w:spacing w:before="30" w:after="30"/>
            </w:pPr>
            <w:r>
              <w:rPr>
                <w:rFonts w:ascii="Georgia" w:cs="Georgia" w:eastAsia="Georgia" w:hAnsi="Georgia"/>
                <w:b/>
                <w:bCs/>
                <w:color w:val="D4A017"/>
                <w:sz w:val="18"/>
                <w:szCs w:val="18"/>
              </w:rPr>
              <w:t xml:space="preserve">Description</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Conferral Failure</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1→3</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Authority fails to properly vest the actor in role</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Authority Inflation</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1→2</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Will displaces norm; institutional authority becomes personal</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Jurisdictional Contradiction</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2→6</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Competing normative regimes claim authority over the same situation</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Role Contradiction</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Node 3</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The role simultaneously authorizes and prohibits the same conduct</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Procedural Contradiction</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2→5</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The act required by the norm cannot be performed through the norm's own procedures</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Temporal Contradiction</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2↔4</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Bidirectional temporal misalignment between norm and triggering facts</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Fact Manipulation</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Node 4</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Triggering facts fabricated, suppressed, or made indeterminate</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Norm Indeterminacy</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Node 2</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Norm is ontologically vague; prevents determinate chain closure</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Recognition Failure</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6/7</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Target or legal effect fails to achieve required recognition</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Recognition Collapse</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6→8</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Subjecthood stripped while enforcement of obligations continues</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Correlativity Contradiction</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Node 7</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Rights claimed without their Hohfeldian correlative duties honored</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Self-Undermining Effect</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Node 7</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Legal effect destabilizes the conditions for the system's own persistence</w:t>
            </w:r>
          </w:p>
        </w:tc>
      </w:tr>
      <w:tr>
        <w:tc>
          <w:tcPr>
            <w:tcW w:type="dxa" w:w="252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Garamond" w:cs="Garamond" w:eastAsia="Garamond" w:hAnsi="Garamond"/>
                <w:b/>
                <w:bCs/>
                <w:color w:val="1A1710"/>
                <w:sz w:val="18"/>
                <w:szCs w:val="18"/>
              </w:rPr>
              <w:t xml:space="preserve">Repair Failure</w:t>
            </w:r>
          </w:p>
        </w:tc>
        <w:tc>
          <w:tcPr>
            <w:tcW w:type="dxa" w:w="1440"/>
            <w:tcBorders>
              <w:top w:val="single" w:color="D0C8B8" w:sz="2"/>
              <w:left w:val="single" w:color="D0C8B8" w:sz="2"/>
              <w:bottom w:val="single" w:color="D0C8B8" w:sz="2"/>
              <w:right w:val="single" w:color="D0C8B8" w:sz="2"/>
            </w:tcBorders>
            <w:tcMar>
              <w:top w:type="dxa" w:w="60"/>
              <w:left w:type="dxa" w:w="100"/>
              <w:bottom w:type="dxa" w:w="60"/>
              <w:right w:type="dxa" w:w="80"/>
            </w:tcMar>
          </w:tcPr>
          <w:p>
            <w:pPr>
              <w:spacing w:before="30" w:after="30"/>
            </w:pPr>
            <w:r>
              <w:rPr>
                <w:rFonts w:ascii="Courier New" w:cs="Courier New" w:eastAsia="Courier New" w:hAnsi="Courier New"/>
                <w:color w:val="E8A020"/>
                <w:sz w:val="16"/>
                <w:szCs w:val="16"/>
              </w:rPr>
              <w:t xml:space="preserve">Node 8</w:t>
            </w:r>
          </w:p>
        </w:tc>
        <w:tc>
          <w:tcPr>
            <w:tcW w:type="dxa" w:w="5400"/>
            <w:tcBorders>
              <w:top w:val="single" w:color="D0C8B8" w:sz="2"/>
              <w:left w:val="single" w:color="D0C8B8" w:sz="2"/>
              <w:bottom w:val="single" w:color="D0C8B8" w:sz="2"/>
              <w:right w:val="single" w:color="D0C8B8" w:sz="2"/>
            </w:tcBorders>
            <w:tcMar>
              <w:top w:type="dxa" w:w="60"/>
              <w:left w:type="dxa" w:w="120"/>
              <w:bottom w:type="dxa" w:w="60"/>
              <w:right w:type="dxa" w:w="80"/>
            </w:tcMar>
          </w:tcPr>
          <w:p>
            <w:pPr>
              <w:spacing w:before="30" w:after="30"/>
            </w:pPr>
            <w:r>
              <w:rPr>
                <w:rFonts w:ascii="Garamond" w:cs="Garamond" w:eastAsia="Garamond" w:hAnsi="Garamond"/>
                <w:color w:val="1A1710"/>
                <w:sz w:val="18"/>
                <w:szCs w:val="18"/>
              </w:rPr>
              <w:t xml:space="preserve">Remedy structurally available but blocked or inaccessible</w:t>
            </w:r>
          </w:p>
        </w:tc>
      </w:tr>
    </w:tbl>
    <w:p>
      <w:pPr>
        <w:spacing w:before="160" w:after="0"/>
      </w:pPr>
      <w:r>
        <w:t xml:space="preserve"/>
      </w:r>
    </w:p>
    <w:p>
      <w:pPr>
        <w:pStyle w:val="Heading2"/>
        <w:spacing w:before="320" w:after="80"/>
      </w:pPr>
      <w:r>
        <w:rPr>
          <w:rFonts w:ascii="Georgia" w:cs="Georgia" w:eastAsia="Georgia" w:hAnsi="Georgia"/>
          <w:b/>
          <w:bCs/>
          <w:color w:val="0D0B08"/>
          <w:sz w:val="24"/>
          <w:szCs w:val="24"/>
        </w:rPr>
        <w:t xml:space="preserve">Key Distinctions to Keep in Mind</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D0C8B8" w:sz="4"/>
              <w:left w:val="single" w:color="D0C8B8" w:sz="4"/>
              <w:bottom w:val="single" w:color="D0C8B8" w:sz="4"/>
              <w:right w:val="none"/>
            </w:tcBorders>
            <w:shd w:fill="242018" w:val="clear"/>
            <w:tcMar>
              <w:top w:type="dxa" w:w="80"/>
              <w:left w:type="dxa" w:w="120"/>
              <w:bottom w:type="dxa" w:w="80"/>
              <w:right w:type="dxa" w:w="120"/>
            </w:tcMar>
          </w:tcPr>
          <w:p>
            <w:pPr>
              <w:spacing w:before="40" w:after="40"/>
              <w:jc w:val="center"/>
            </w:pPr>
            <w:r>
              <w:rPr>
                <w:rFonts w:ascii="Courier New" w:cs="Courier New" w:eastAsia="Courier New" w:hAnsi="Courier New"/>
                <w:b/>
                <w:bCs/>
                <w:color w:val="D4A017"/>
                <w:sz w:val="16"/>
                <w:szCs w:val="16"/>
              </w:rPr>
              <w:t xml:space="preserve">Coherent vs. Legitimate</w:t>
            </w:r>
          </w:p>
        </w:tc>
        <w:tc>
          <w:tcPr>
            <w:tcW w:type="dxa" w:w="7920"/>
            <w:tcBorders>
              <w:top w:val="single" w:color="D0C8B8" w:sz="4"/>
              <w:left w:val="none"/>
              <w:bottom w:val="single" w:color="D0C8B8" w:sz="4"/>
              <w:right w:val="single" w:color="D0C8B8" w:sz="4"/>
            </w:tcBorders>
            <w:shd w:fill="F4EFE4" w:val="clear"/>
            <w:tcMar>
              <w:top w:type="dxa" w:w="80"/>
              <w:left w:type="dxa" w:w="160"/>
              <w:bottom w:type="dxa" w:w="80"/>
              <w:right w:type="dxa" w:w="120"/>
            </w:tcMar>
          </w:tcPr>
          <w:p>
            <w:pPr>
              <w:spacing w:before="40" w:after="40"/>
            </w:pPr>
            <w:r>
              <w:rPr>
                <w:rFonts w:ascii="Garamond" w:cs="Garamond" w:eastAsia="Garamond" w:hAnsi="Garamond"/>
                <w:color w:val="0D0B08"/>
                <w:sz w:val="20"/>
                <w:szCs w:val="20"/>
              </w:rPr>
              <w:t xml:space="preserve">A coherent legal structure satisfies all 8 MLC nodes without contradiction. A legitimate legal structure is morally justified. These are independent dimensions. A system can be coherent and monstrous (early Nazi Germany), or incoherent and pursuing just ends. SOoL evaluates coherence, not legitimacy.</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D0C8B8" w:sz="4"/>
              <w:left w:val="single" w:color="D0C8B8" w:sz="4"/>
              <w:bottom w:val="single" w:color="D0C8B8" w:sz="4"/>
              <w:right w:val="none"/>
            </w:tcBorders>
            <w:shd w:fill="242018" w:val="clear"/>
            <w:tcMar>
              <w:top w:type="dxa" w:w="80"/>
              <w:left w:type="dxa" w:w="120"/>
              <w:bottom w:type="dxa" w:w="80"/>
              <w:right w:type="dxa" w:w="120"/>
            </w:tcMar>
          </w:tcPr>
          <w:p>
            <w:pPr>
              <w:spacing w:before="40" w:after="40"/>
              <w:jc w:val="center"/>
            </w:pPr>
            <w:r>
              <w:rPr>
                <w:rFonts w:ascii="Courier New" w:cs="Courier New" w:eastAsia="Courier New" w:hAnsi="Courier New"/>
                <w:b/>
                <w:bCs/>
                <w:color w:val="D4A017"/>
                <w:sz w:val="16"/>
                <w:szCs w:val="16"/>
              </w:rPr>
              <w:t xml:space="preserve">CD vs. Rule Violation</w:t>
            </w:r>
          </w:p>
        </w:tc>
        <w:tc>
          <w:tcPr>
            <w:tcW w:type="dxa" w:w="7920"/>
            <w:tcBorders>
              <w:top w:val="single" w:color="D0C8B8" w:sz="4"/>
              <w:left w:val="none"/>
              <w:bottom w:val="single" w:color="D0C8B8" w:sz="4"/>
              <w:right w:val="single" w:color="D0C8B8" w:sz="4"/>
            </w:tcBorders>
            <w:shd w:fill="F4EFE4" w:val="clear"/>
            <w:tcMar>
              <w:top w:type="dxa" w:w="80"/>
              <w:left w:type="dxa" w:w="160"/>
              <w:bottom w:type="dxa" w:w="80"/>
              <w:right w:type="dxa" w:w="120"/>
            </w:tcMar>
          </w:tcPr>
          <w:p>
            <w:pPr>
              <w:spacing w:before="40" w:after="40"/>
            </w:pPr>
            <w:r>
              <w:rPr>
                <w:rFonts w:ascii="Garamond" w:cs="Garamond" w:eastAsia="Garamond" w:hAnsi="Garamond"/>
                <w:color w:val="0D0B08"/>
                <w:sz w:val="20"/>
                <w:szCs w:val="20"/>
              </w:rPr>
              <w:t xml:space="preserve">A rule violation is a doctrinal finding: a specific norm was breached. Contradiction debt is a structural finding: the architecture of the legal system is under stress. A rule violation can occur within a structurally coherent system; CD can accumulate even when individual rules are formally complied with.</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D0C8B8" w:sz="4"/>
              <w:left w:val="single" w:color="D0C8B8" w:sz="4"/>
              <w:bottom w:val="single" w:color="D0C8B8" w:sz="4"/>
              <w:right w:val="none"/>
            </w:tcBorders>
            <w:shd w:fill="242018" w:val="clear"/>
            <w:tcMar>
              <w:top w:type="dxa" w:w="80"/>
              <w:left w:type="dxa" w:w="120"/>
              <w:bottom w:type="dxa" w:w="80"/>
              <w:right w:type="dxa" w:w="120"/>
            </w:tcMar>
          </w:tcPr>
          <w:p>
            <w:pPr>
              <w:spacing w:before="40" w:after="40"/>
              <w:jc w:val="center"/>
            </w:pPr>
            <w:r>
              <w:rPr>
                <w:rFonts w:ascii="Courier New" w:cs="Courier New" w:eastAsia="Courier New" w:hAnsi="Courier New"/>
                <w:b/>
                <w:bCs/>
                <w:color w:val="D4A017"/>
                <w:sz w:val="16"/>
                <w:szCs w:val="16"/>
              </w:rPr>
              <w:t xml:space="preserve">Ontological vs. Moral Failure</w:t>
            </w:r>
          </w:p>
        </w:tc>
        <w:tc>
          <w:tcPr>
            <w:tcW w:type="dxa" w:w="7920"/>
            <w:tcBorders>
              <w:top w:val="single" w:color="D0C8B8" w:sz="4"/>
              <w:left w:val="none"/>
              <w:bottom w:val="single" w:color="D0C8B8" w:sz="4"/>
              <w:right w:val="single" w:color="D0C8B8" w:sz="4"/>
            </w:tcBorders>
            <w:shd w:fill="F4EFE4" w:val="clear"/>
            <w:tcMar>
              <w:top w:type="dxa" w:w="80"/>
              <w:left w:type="dxa" w:w="160"/>
              <w:bottom w:type="dxa" w:w="80"/>
              <w:right w:type="dxa" w:w="120"/>
            </w:tcMar>
          </w:tcPr>
          <w:p>
            <w:pPr>
              <w:spacing w:before="40" w:after="40"/>
            </w:pPr>
            <w:r>
              <w:rPr>
                <w:rFonts w:ascii="Garamond" w:cs="Garamond" w:eastAsia="Garamond" w:hAnsi="Garamond"/>
                <w:color w:val="0D0B08"/>
                <w:sz w:val="20"/>
                <w:szCs w:val="20"/>
              </w:rPr>
              <w:t xml:space="preserve">SOoL identifies ontological failures — structural defects in the architecture of legal being. These are separate from moral failures, though they often co-occur. The Nuremberg Tribunal effected a legal-ontological repair as well as a moral reckoning.</w:t>
            </w:r>
          </w:p>
        </w:tc>
      </w:tr>
    </w:tbl>
    <w:p>
      <w:pPr>
        <w:spacing w:before="200" w:after="0"/>
      </w:pPr>
      <w:r>
        <w:t xml:space="preserve"/>
      </w:r>
    </w:p>
    <w:p>
      <w:pPr>
        <w:spacing w:before="120" w:after="120"/>
        <w:jc w:val="center"/>
      </w:pPr>
      <w:r>
        <w:rPr>
          <w:rFonts w:ascii="Georgia" w:cs="Georgia" w:eastAsia="Georgia" w:hAnsi="Georgia"/>
          <w:color w:val="D0C8B8"/>
          <w:sz w:val="32"/>
          <w:szCs w:val="32"/>
        </w:rPr>
        <w:t xml:space="preserve">―</w:t>
      </w:r>
    </w:p>
    <w:p>
      <w:pPr>
        <w:spacing w:before="40" w:after="40"/>
        <w:jc w:val="center"/>
      </w:pPr>
      <w:r>
        <w:rPr>
          <w:rFonts w:ascii="Garamond" w:cs="Garamond" w:eastAsia="Garamond" w:hAnsi="Garamond"/>
          <w:i/>
          <w:iCs/>
          <w:color w:val="8B7D6B"/>
          <w:sz w:val="20"/>
          <w:szCs w:val="20"/>
        </w:rPr>
        <w:t xml:space="preserve">Questions about this teaching package or requests for a guest lecture:</w:t>
      </w:r>
    </w:p>
    <w:p>
      <w:pPr>
        <w:spacing w:before="40" w:after="80"/>
        <w:jc w:val="center"/>
      </w:pPr>
      <w:r>
        <w:rPr>
          <w:rFonts w:ascii="Courier New" w:cs="Courier New" w:eastAsia="Courier New" w:hAnsi="Courier New"/>
          <w:color w:val="B8860B"/>
          <w:sz w:val="20"/>
          <w:szCs w:val="20"/>
        </w:rPr>
        <w:t xml:space="preserve">drkoepsell@tamu.edu</w:t>
      </w:r>
    </w:p>
    <w:p>
      <w:pPr>
        <w:spacing w:before="40" w:after="40"/>
        <w:jc w:val="center"/>
      </w:pPr>
      <w:r>
        <w:rPr>
          <w:rFonts w:ascii="Garamond" w:cs="Garamond" w:eastAsia="Garamond" w:hAnsi="Garamond"/>
          <w:color w:val="8B7D6B"/>
          <w:sz w:val="18"/>
          <w:szCs w:val="18"/>
        </w:rPr>
        <w:t xml:space="preserve">© 2025 David R. Koepsell · SEAL Lab, Texas A&amp;M University</w:t>
      </w:r>
    </w:p>
    <w:p>
      <w:pPr>
        <w:spacing w:before="40" w:after="40"/>
        <w:jc w:val="center"/>
      </w:pPr>
      <w:r>
        <w:rPr>
          <w:rFonts w:ascii="Garamond" w:cs="Garamond" w:eastAsia="Garamond" w:hAnsi="Garamond"/>
          <w:i/>
          <w:iCs/>
          <w:color w:val="8B7D6B"/>
          <w:sz w:val="18"/>
          <w:szCs w:val="18"/>
        </w:rPr>
        <w:t xml:space="preserve">A Structural Ontology of the Law, Palgrave Macmillan (forthcoming)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Georgia" w:cs="Georgia" w:eastAsia="Georgia" w:hAnsi="Georgia"/>
      <w:b/>
      <w:bCs/>
      <w:color w:val="B8860B"/>
      <w:sz w:val="32"/>
      <w:szCs w:val="32"/>
    </w:rPr>
  </w:style>
  <w:style w:type="paragraph" w:styleId="Heading2">
    <w:name w:val="Heading 2"/>
    <w:basedOn w:val="Normal"/>
    <w:next w:val="Normal"/>
    <w:qFormat/>
    <w:pPr>
      <w:spacing w:before="320" w:after="80"/>
      <w:outlineLvl w:val="1"/>
    </w:pPr>
    <w:rPr>
      <w:rFonts w:ascii="Georgia" w:cs="Georgia" w:eastAsia="Georgia" w:hAnsi="Georgia"/>
      <w:b/>
      <w:bCs/>
      <w:color w:val="0D0B08"/>
      <w:sz w:val="24"/>
      <w:szCs w:val="24"/>
    </w:rPr>
  </w:style>
  <w:style w:type="paragraph" w:styleId="Heading3">
    <w:name w:val="Heading 3"/>
    <w:basedOn w:val="Normal"/>
    <w:next w:val="Normal"/>
    <w:qFormat/>
    <w:pPr>
      <w:spacing w:before="240" w:after="60"/>
      <w:outlineLvl w:val="2"/>
    </w:pPr>
    <w:rPr>
      <w:rFonts w:ascii="Georgia" w:cs="Georgia" w:eastAsia="Georgia" w:hAnsi="Georgia"/>
      <w:b/>
      <w:bCs/>
      <w:color w:val="8B7D6B"/>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2026-03-07T21:19:49.616Z</dcterms:created>
  <dcterms:modified xsi:type="dcterms:W3CDTF">2026-03-07T21:19:49.617Z</dcterms:modified>
</cp:coreProperties>
</file>

<file path=docProps/custom.xml><?xml version="1.0" encoding="utf-8"?>
<Properties xmlns="http://schemas.openxmlformats.org/officeDocument/2006/custom-properties" xmlns:vt="http://schemas.openxmlformats.org/officeDocument/2006/docPropsVTypes"/>
</file>